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rPr>
          <w:rFonts w:ascii="Gill Sans MT" w:cs="Gill Sans MT" w:hAnsi="Gill Sans MT" w:eastAsia="Gill Sans MT"/>
          <w:b w:val="1"/>
          <w:bCs w:val="1"/>
          <w:color w:val="4f81bd"/>
          <w:sz w:val="40"/>
          <w:szCs w:val="40"/>
          <w:u w:color="4f81bd"/>
        </w:rPr>
      </w:pPr>
      <w:r>
        <w:rPr>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137411" cy="700406"/>
                <wp:effectExtent l="0" t="0" r="0" b="0"/>
                <wp:wrapNone/>
                <wp:docPr id="1073741827" name="officeArt object" descr="Zone de texte 279"/>
                <wp:cNvGraphicFramePr/>
                <a:graphic xmlns:a="http://schemas.openxmlformats.org/drawingml/2006/main">
                  <a:graphicData uri="http://schemas.microsoft.com/office/word/2010/wordprocessingShape">
                    <wps:wsp>
                      <wps:cNvSpPr txBox="1"/>
                      <wps:spPr>
                        <a:xfrm>
                          <a:off x="0" y="0"/>
                          <a:ext cx="2137411" cy="700406"/>
                        </a:xfrm>
                        <a:prstGeom prst="rect">
                          <a:avLst/>
                        </a:prstGeom>
                        <a:solidFill>
                          <a:srgbClr val="FFFFFF"/>
                        </a:solidFill>
                        <a:ln w="12700" cap="flat">
                          <a:noFill/>
                          <a:miter lim="400000"/>
                        </a:ln>
                        <a:effectLst/>
                      </wps:spPr>
                      <wps:txb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168.3pt;height:5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v:textbox>
                <w10:wrap type="none" side="bothSides" anchorx="text"/>
              </v:shape>
            </w:pict>
          </mc:Fallback>
        </mc:AlternateContent>
      </w:r>
    </w:p>
    <w:p>
      <w:pPr>
        <w:pStyle w:val="Body"/>
        <w:spacing w:after="200" w:line="276" w:lineRule="auto"/>
        <w:rPr>
          <w:rFonts w:ascii="Gill Sans MT" w:cs="Gill Sans MT" w:hAnsi="Gill Sans MT" w:eastAsia="Gill Sans MT"/>
          <w:b w:val="1"/>
          <w:bCs w:val="1"/>
          <w:color w:val="0070c0"/>
          <w:sz w:val="56"/>
          <w:szCs w:val="56"/>
          <w:u w:color="0070c0"/>
        </w:rPr>
      </w:pPr>
      <w:r>
        <w:rPr>
          <w:sz w:val="24"/>
          <w:szCs w:val="24"/>
        </w:rPr>
        <mc:AlternateContent>
          <mc:Choice Requires="wpg">
            <w:drawing>
              <wp:anchor distT="0" distB="0" distL="0" distR="0" simplePos="0" relativeHeight="251660288" behindDoc="0" locked="0" layoutInCell="1" allowOverlap="1">
                <wp:simplePos x="0" y="0"/>
                <wp:positionH relativeFrom="page">
                  <wp:posOffset>457199</wp:posOffset>
                </wp:positionH>
                <wp:positionV relativeFrom="page">
                  <wp:posOffset>1411604</wp:posOffset>
                </wp:positionV>
                <wp:extent cx="6482080" cy="7998460"/>
                <wp:effectExtent l="0" t="0" r="0" b="0"/>
                <wp:wrapNone/>
                <wp:docPr id="1073741840" name="officeArt object" descr="Group 193"/>
                <wp:cNvGraphicFramePr/>
                <a:graphic xmlns:a="http://schemas.openxmlformats.org/drawingml/2006/main">
                  <a:graphicData uri="http://schemas.microsoft.com/office/word/2010/wordprocessingGroup">
                    <wpg:wgp>
                      <wpg:cNvGrpSpPr/>
                      <wpg:grpSpPr>
                        <a:xfrm>
                          <a:off x="0" y="0"/>
                          <a:ext cx="6482080" cy="7998460"/>
                          <a:chOff x="0" y="0"/>
                          <a:chExt cx="6482079" cy="7998459"/>
                        </a:xfrm>
                      </wpg:grpSpPr>
                      <wpg:grpSp>
                        <wpg:cNvPr id="1073741838" name="Group 194"/>
                        <wpg:cNvGrpSpPr/>
                        <wpg:grpSpPr>
                          <a:xfrm>
                            <a:off x="-1" y="4513931"/>
                            <a:ext cx="6482081" cy="3484529"/>
                            <a:chOff x="0" y="0"/>
                            <a:chExt cx="6482079" cy="3484528"/>
                          </a:xfrm>
                        </wpg:grpSpPr>
                        <wpg:grpSp>
                          <wpg:cNvPr id="1073741831" name="Group 4"/>
                          <wpg:cNvGrpSpPr/>
                          <wpg:grpSpPr>
                            <a:xfrm>
                              <a:off x="0" y="260540"/>
                              <a:ext cx="6477829" cy="2908554"/>
                              <a:chOff x="0" y="0"/>
                              <a:chExt cx="6477828" cy="2908553"/>
                            </a:xfrm>
                          </wpg:grpSpPr>
                          <wps:wsp>
                            <wps:cNvPr id="1073741828" name="Freeform 5"/>
                            <wps:cNvSpPr/>
                            <wps:spPr>
                              <a:xfrm>
                                <a:off x="0" y="302325"/>
                                <a:ext cx="3790293" cy="2345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1" y="21600"/>
                                    </a:lnTo>
                                    <a:lnTo>
                                      <a:pt x="21600" y="19450"/>
                                    </a:lnTo>
                                    <a:lnTo>
                                      <a:pt x="21600" y="1509"/>
                                    </a:lnTo>
                                    <a:lnTo>
                                      <a:pt x="0" y="0"/>
                                    </a:lnTo>
                                    <a:close/>
                                  </a:path>
                                </a:pathLst>
                              </a:custGeom>
                              <a:solidFill>
                                <a:srgbClr val="A7BFDE">
                                  <a:alpha val="50195"/>
                                </a:srgbClr>
                              </a:solidFill>
                              <a:ln w="12700" cap="flat">
                                <a:noFill/>
                                <a:miter lim="400000"/>
                              </a:ln>
                              <a:effectLst/>
                            </wps:spPr>
                            <wps:bodyPr/>
                          </wps:wsp>
                          <wps:wsp>
                            <wps:cNvPr id="1073741829" name="Freeform 6"/>
                            <wps:cNvSpPr/>
                            <wps:spPr>
                              <a:xfrm>
                                <a:off x="3790292" y="0"/>
                                <a:ext cx="1842002"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62"/>
                                    </a:moveTo>
                                    <a:lnTo>
                                      <a:pt x="0" y="17828"/>
                                    </a:lnTo>
                                    <a:lnTo>
                                      <a:pt x="21600" y="21600"/>
                                    </a:lnTo>
                                    <a:lnTo>
                                      <a:pt x="21600" y="0"/>
                                    </a:lnTo>
                                    <a:lnTo>
                                      <a:pt x="0" y="3462"/>
                                    </a:lnTo>
                                    <a:close/>
                                  </a:path>
                                </a:pathLst>
                              </a:custGeom>
                              <a:solidFill>
                                <a:srgbClr val="D3DFEE">
                                  <a:alpha val="50195"/>
                                </a:srgbClr>
                              </a:solidFill>
                              <a:ln w="12700" cap="flat">
                                <a:noFill/>
                                <a:miter lim="400000"/>
                              </a:ln>
                              <a:effectLst/>
                            </wps:spPr>
                            <wps:bodyPr/>
                          </wps:wsp>
                          <wps:wsp>
                            <wps:cNvPr id="1073741830" name="Freeform 7"/>
                            <wps:cNvSpPr/>
                            <wps:spPr>
                              <a:xfrm>
                                <a:off x="5632293" y="0"/>
                                <a:ext cx="845536"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6708"/>
                                    </a:lnTo>
                                    <a:lnTo>
                                      <a:pt x="21600" y="4484"/>
                                    </a:lnTo>
                                    <a:lnTo>
                                      <a:pt x="0" y="0"/>
                                    </a:lnTo>
                                    <a:close/>
                                  </a:path>
                                </a:pathLst>
                              </a:custGeom>
                              <a:solidFill>
                                <a:srgbClr val="A7BFDE">
                                  <a:alpha val="50195"/>
                                </a:srgbClr>
                              </a:solidFill>
                              <a:ln w="12700" cap="flat">
                                <a:noFill/>
                                <a:miter lim="400000"/>
                              </a:ln>
                              <a:effectLst/>
                            </wps:spPr>
                            <wps:bodyPr/>
                          </wps:wsp>
                        </wpg:grpSp>
                        <wps:wsp>
                          <wps:cNvPr id="1073741832" name="Freeform 8"/>
                          <wps:cNvSpPr/>
                          <wps:spPr>
                            <a:xfrm>
                              <a:off x="4292511" y="548938"/>
                              <a:ext cx="2189570" cy="23866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 y="1861"/>
                                  </a:moveTo>
                                  <a:lnTo>
                                    <a:pt x="0" y="19739"/>
                                  </a:lnTo>
                                  <a:lnTo>
                                    <a:pt x="21600" y="21600"/>
                                  </a:lnTo>
                                  <a:lnTo>
                                    <a:pt x="21600" y="0"/>
                                  </a:lnTo>
                                  <a:lnTo>
                                    <a:pt x="5" y="1861"/>
                                  </a:lnTo>
                                  <a:close/>
                                </a:path>
                              </a:pathLst>
                            </a:custGeom>
                            <a:solidFill>
                              <a:srgbClr val="D8D8D8"/>
                            </a:solidFill>
                            <a:ln w="12700" cap="flat">
                              <a:noFill/>
                              <a:miter lim="400000"/>
                            </a:ln>
                            <a:effectLst/>
                          </wps:spPr>
                          <wps:bodyPr/>
                        </wps:wsp>
                        <wps:wsp>
                          <wps:cNvPr id="1073741833" name="Freeform 9"/>
                          <wps:cNvSpPr/>
                          <wps:spPr>
                            <a:xfrm>
                              <a:off x="2184254" y="0"/>
                              <a:ext cx="2117824" cy="3470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7077"/>
                                  </a:lnTo>
                                  <a:lnTo>
                                    <a:pt x="21600" y="4696"/>
                                  </a:lnTo>
                                  <a:lnTo>
                                    <a:pt x="0" y="0"/>
                                  </a:lnTo>
                                  <a:close/>
                                </a:path>
                              </a:pathLst>
                            </a:custGeom>
                            <a:solidFill>
                              <a:srgbClr val="BFBFBF"/>
                            </a:solidFill>
                            <a:ln w="12700" cap="flat">
                              <a:noFill/>
                              <a:miter lim="400000"/>
                            </a:ln>
                            <a:effectLst/>
                          </wps:spPr>
                          <wps:bodyPr/>
                        </wps:wsp>
                        <wps:wsp>
                          <wps:cNvPr id="1073741834" name="Freeform 10"/>
                          <wps:cNvSpPr/>
                          <wps:spPr>
                            <a:xfrm>
                              <a:off x="12754" y="-1"/>
                              <a:ext cx="2171501" cy="34845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89" y="21600"/>
                                  </a:lnTo>
                                  <a:lnTo>
                                    <a:pt x="0" y="16242"/>
                                  </a:lnTo>
                                  <a:lnTo>
                                    <a:pt x="0" y="5444"/>
                                  </a:lnTo>
                                  <a:lnTo>
                                    <a:pt x="21600" y="0"/>
                                  </a:lnTo>
                                  <a:close/>
                                </a:path>
                              </a:pathLst>
                            </a:custGeom>
                            <a:solidFill>
                              <a:srgbClr val="D8D8D8"/>
                            </a:solidFill>
                            <a:ln w="12700" cap="flat">
                              <a:noFill/>
                              <a:miter lim="400000"/>
                            </a:ln>
                            <a:effectLst/>
                          </wps:spPr>
                          <wps:bodyPr/>
                        </wps:wsp>
                        <wps:wsp>
                          <wps:cNvPr id="1073741835" name="Freeform 11"/>
                          <wps:cNvSpPr/>
                          <wps:spPr>
                            <a:xfrm>
                              <a:off x="12223" y="178609"/>
                              <a:ext cx="1103288" cy="31551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66"/>
                                  </a:moveTo>
                                  <a:lnTo>
                                    <a:pt x="21434" y="0"/>
                                  </a:lnTo>
                                  <a:lnTo>
                                    <a:pt x="21600" y="21600"/>
                                  </a:lnTo>
                                  <a:lnTo>
                                    <a:pt x="0" y="16720"/>
                                  </a:lnTo>
                                  <a:lnTo>
                                    <a:pt x="0" y="5166"/>
                                  </a:lnTo>
                                  <a:close/>
                                </a:path>
                              </a:pathLst>
                            </a:custGeom>
                            <a:solidFill>
                              <a:srgbClr val="D3DFEE">
                                <a:alpha val="70195"/>
                              </a:srgbClr>
                            </a:solidFill>
                            <a:ln w="12700" cap="flat">
                              <a:noFill/>
                              <a:miter lim="400000"/>
                            </a:ln>
                            <a:effectLst/>
                          </wps:spPr>
                          <wps:bodyPr/>
                        </wps:wsp>
                        <wps:wsp>
                          <wps:cNvPr id="1073741836" name="Freeform 12"/>
                          <wps:cNvSpPr/>
                          <wps:spPr>
                            <a:xfrm>
                              <a:off x="1107007" y="178609"/>
                              <a:ext cx="3194540" cy="3142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61" y="21600"/>
                                  </a:lnTo>
                                  <a:lnTo>
                                    <a:pt x="21600" y="14807"/>
                                  </a:lnTo>
                                  <a:lnTo>
                                    <a:pt x="21600" y="6978"/>
                                  </a:lnTo>
                                  <a:lnTo>
                                    <a:pt x="0" y="0"/>
                                  </a:lnTo>
                                  <a:close/>
                                </a:path>
                              </a:pathLst>
                            </a:custGeom>
                            <a:solidFill>
                              <a:srgbClr val="A7BFDE">
                                <a:alpha val="70195"/>
                              </a:srgbClr>
                            </a:solidFill>
                            <a:ln w="12700" cap="flat">
                              <a:noFill/>
                              <a:miter lim="400000"/>
                            </a:ln>
                            <a:effectLst/>
                          </wps:spPr>
                          <wps:bodyPr/>
                        </wps:wsp>
                        <wps:wsp>
                          <wps:cNvPr id="1073741837" name="Freeform 13"/>
                          <wps:cNvSpPr/>
                          <wps:spPr>
                            <a:xfrm>
                              <a:off x="4301545" y="357219"/>
                              <a:ext cx="2180004" cy="28118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33"/>
                                  </a:moveTo>
                                  <a:lnTo>
                                    <a:pt x="0" y="15174"/>
                                  </a:lnTo>
                                  <a:lnTo>
                                    <a:pt x="21600" y="21600"/>
                                  </a:lnTo>
                                  <a:lnTo>
                                    <a:pt x="21600" y="0"/>
                                  </a:lnTo>
                                  <a:lnTo>
                                    <a:pt x="0" y="6533"/>
                                  </a:lnTo>
                                  <a:close/>
                                </a:path>
                              </a:pathLst>
                            </a:custGeom>
                            <a:solidFill>
                              <a:srgbClr val="D3DFEE">
                                <a:alpha val="70195"/>
                              </a:srgbClr>
                            </a:solidFill>
                            <a:ln w="12700" cap="flat">
                              <a:noFill/>
                              <a:miter lim="400000"/>
                            </a:ln>
                            <a:effectLst/>
                          </wps:spPr>
                          <wps:bodyPr/>
                        </wps:wsp>
                      </wpg:grpSp>
                      <wps:wsp>
                        <wps:cNvPr id="1073741839" name="Rectangle 15"/>
                        <wps:cNvSpPr txBox="1"/>
                        <wps:spPr>
                          <a:xfrm>
                            <a:off x="686394" y="0"/>
                            <a:ext cx="5480559" cy="5592599"/>
                          </a:xfrm>
                          <a:prstGeom prst="rect">
                            <a:avLst/>
                          </a:prstGeom>
                          <a:noFill/>
                          <a:ln w="12700" cap="flat">
                            <a:noFill/>
                            <a:miter lim="400000"/>
                          </a:ln>
                          <a:effectLst/>
                        </wps:spPr>
                        <wps:txb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wps:txbx>
                        <wps:bodyPr wrap="square" lIns="45719" tIns="45719" rIns="45719" bIns="45719" numCol="1" anchor="b">
                          <a:noAutofit/>
                        </wps:bodyPr>
                      </wps:wsp>
                    </wpg:wgp>
                  </a:graphicData>
                </a:graphic>
              </wp:anchor>
            </w:drawing>
          </mc:Choice>
          <mc:Fallback>
            <w:pict>
              <v:group id="_x0000_s1027" style="visibility:visible;position:absolute;margin-left:36.0pt;margin-top:111.1pt;width:510.4pt;height:629.8pt;z-index:251660288;mso-position-horizontal:absolute;mso-position-horizontal-relative:page;mso-position-vertical:absolute;mso-position-vertical-relative:page;mso-wrap-distance-left:0.0pt;mso-wrap-distance-top:0.0pt;mso-wrap-distance-right:0.0pt;mso-wrap-distance-bottom:0.0pt;" coordorigin="0,0" coordsize="6482080,7998460">
                <w10:wrap type="none" side="bothSides" anchorx="page" anchory="page"/>
                <v:group id="_x0000_s1028" style="position:absolute;left:0;top:4513931;width:6482080;height:3484528;" coordorigin="0,0" coordsize="6482080,3484528">
                  <v:group id="_x0000_s1029" style="position:absolute;left:0;top:260541;width:6477829;height:2908553;" coordorigin="0,0" coordsize="6477829,2908553">
                    <v:shape id="_x0000_s1030" style="position:absolute;left:0;top:302326;width:3790292;height:2345686;" coordorigin="0,0" coordsize="21600,21600" path="M 0,0 L 51,21600 L 21600,19450 L 21600,1509 L 0,0 X E">
                      <v:fill color="#A7BFDE" opacity="50.2%" type="solid"/>
                      <v:stroke on="f" weight="1.0pt" dashstyle="solid" endcap="flat" miterlimit="400.0%" joinstyle="miter" linestyle="single" startarrow="none" startarrowwidth="medium" startarrowlength="medium" endarrow="none" endarrowwidth="medium" endarrowlength="medium"/>
                    </v:shape>
                    <v:shape id="_x0000_s1031" style="position:absolute;left:3790292;top:0;width:1842001;height:2908553;" coordorigin="0,0" coordsize="21600,21600" path="M 0,3462 L 0,17828 L 21600,21600 L 21600,0 L 0,3462 X E">
                      <v:fill color="#D3DFEE" opacity="50.2%" type="solid"/>
                      <v:stroke on="f" weight="1.0pt" dashstyle="solid" endcap="flat" miterlimit="400.0%" joinstyle="miter" linestyle="single" startarrow="none" startarrowwidth="medium" startarrowlength="medium" endarrow="none" endarrowwidth="medium" endarrowlength="medium"/>
                    </v:shape>
                    <v:shape id="_x0000_s1032" style="position:absolute;left:5632294;top:0;width:845535;height:2908553;" coordorigin="0,0" coordsize="21600,21600" path="M 0,0 L 0,21600 L 21600,16708 L 21600,4484 L 0,0 X E">
                      <v:fill color="#A7BFDE" opacity="50.2%" type="solid"/>
                      <v:stroke on="f" weight="1.0pt" dashstyle="solid" endcap="flat" miterlimit="400.0%" joinstyle="miter" linestyle="single" startarrow="none" startarrowwidth="medium" startarrowlength="medium" endarrow="none" endarrowwidth="medium" endarrowlength="medium"/>
                    </v:shape>
                  </v:group>
                  <v:shape id="_x0000_s1033" style="position:absolute;left:4292511;top:548938;width:2189569;height:2386652;" coordorigin="0,0" coordsize="21600,21600" path="M 5,1861 L 0,19739 L 21600,21600 L 21600,0 L 5,1861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184254;top:0;width:2117823;height:3470600;" coordorigin="0,0" coordsize="21600,21600" path="M 0,0 L 0,21600 L 21600,17077 L 21600,4696 L 0,0 X E">
                    <v:fill color="#BFBFB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2755;top:0;width:2171500;height:3484528;" coordorigin="0,0" coordsize="21600,21600" path="M 21600,0 L 21589,21600 L 0,16242 L 0,5444 L 21600,0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2223;top:178610;width:1103288;height:3155166;" coordorigin="0,0" coordsize="21600,21600" path="M 0,5166 L 21434,0 L 21600,21600 L 0,16720 L 0,5166 X E">
                    <v:fill color="#D3DFEE" opacity="70.2%" type="solid"/>
                    <v:stroke on="f" weight="1.0pt" dashstyle="solid" endcap="flat" miterlimit="400.0%" joinstyle="miter" linestyle="single" startarrow="none" startarrowwidth="medium" startarrowlength="medium" endarrow="none" endarrowwidth="medium" endarrowlength="medium"/>
                  </v:shape>
                  <v:shape id="_x0000_s1037" style="position:absolute;left:1107008;top:178610;width:3194538;height:3142057;" coordorigin="0,0" coordsize="21600,21600" path="M 0,0 L 61,21600 L 21600,14807 L 21600,6978 L 0,0 X E">
                    <v:fill color="#A7BFDE" opacity="70.2%" type="solid"/>
                    <v:stroke on="f" weight="1.0pt" dashstyle="solid" endcap="flat" miterlimit="400.0%" joinstyle="miter" linestyle="single" startarrow="none" startarrowwidth="medium" startarrowlength="medium" endarrow="none" endarrowwidth="medium" endarrowlength="medium"/>
                  </v:shape>
                  <v:shape id="_x0000_s1038" style="position:absolute;left:4301546;top:357219;width:2180003;height:2811874;" coordorigin="0,0" coordsize="21600,21600" path="M 0,6533 L 0,15174 L 21600,21600 L 21600,0 L 0,6533 X E">
                    <v:fill color="#D3DFEE" opacity="70.2%" type="solid"/>
                    <v:stroke on="f" weight="1.0pt" dashstyle="solid" endcap="flat" miterlimit="400.0%" joinstyle="miter" linestyle="single" startarrow="none" startarrowwidth="medium" startarrowlength="medium" endarrow="none" endarrowwidth="medium" endarrowlength="medium"/>
                  </v:shape>
                </v:group>
                <v:shape id="_x0000_s1039" type="#_x0000_t202" style="position:absolute;left:686394;top:0;width:5480558;height:559259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v:textbox>
                </v:shape>
              </v:group>
            </w:pict>
          </mc:Fallback>
        </mc:AlternateContent>
      </w: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0"/>
        <w:rPr>
          <w:lang w:val="en-US"/>
        </w:rPr>
      </w:pP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INDIVIDUAL EVALUATION REPORT</w:t>
      </w: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r>
      <w:r>
        <w:rPr>
          <w:sz w:val="24"/>
          <w:szCs w:val="24"/>
          <w:rtl w:val="0"/>
          <w:lang w:val="en-US"/>
        </w:rPr>
        <w:t xml:space="preserve"> Nandita Singh  </w:t>
      </w:r>
      <w:r>
        <w:rPr>
          <w:sz w:val="24"/>
          <w:szCs w:val="24"/>
          <w:lang w:val="en-US"/>
        </w:rPr>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Natwip</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r>
        <w:rPr>
          <w:sz w:val="24"/>
          <w:szCs w:val="24"/>
          <w:rtl w:val="0"/>
          <w:lang w:val="en-US"/>
        </w:rPr>
        <w:t xml:space="preserve">39 months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r>
      <w:r>
        <w:rPr>
          <w:rFonts w:ascii="Gill Sans MT" w:cs="Gill Sans MT" w:hAnsi="Gill Sans MT" w:eastAsia="Gill Sans MT"/>
          <w:b w:val="1"/>
          <w:bCs w:val="1"/>
          <w:sz w:val="24"/>
          <w:szCs w:val="24"/>
          <w:rtl w:val="0"/>
          <w:lang w:val="en-US"/>
        </w:rPr>
        <w:t>Apr 19</w:t>
      </w:r>
      <w:r>
        <w:rPr>
          <w:rFonts w:ascii="Gill Sans MT" w:cs="Gill Sans MT" w:hAnsi="Gill Sans MT" w:eastAsia="Gill Sans MT"/>
          <w:b w:val="1"/>
          <w:bCs w:val="1"/>
          <w:sz w:val="24"/>
          <w:szCs w:val="24"/>
          <w:lang w:val="en-US"/>
        </w:rPr>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 Jun 22 </w:t>
      </w:r>
    </w:p>
    <w:p>
      <w:pPr>
        <w:pStyle w:val="Body"/>
        <w:spacing w:after="0"/>
        <w:rPr>
          <w:lang w:val="en-US"/>
        </w:rPr>
      </w:pPr>
    </w:p>
    <w:p>
      <w:pPr>
        <w:pStyle w:val="Body"/>
        <w:tabs>
          <w:tab w:val="left" w:pos="5505"/>
        </w:tabs>
        <w:spacing w:after="0"/>
      </w:pPr>
      <w:r>
        <w:rPr>
          <w:lang w:val="en-US"/>
        </w:rPr>
        <w:tab/>
      </w: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DETAILS OF THE EVALUATOR</w:t>
      </w:r>
    </w:p>
    <w:p>
      <w:pPr>
        <w:pStyle w:val="Body"/>
        <w:spacing w:after="0"/>
        <w:rPr>
          <w:sz w:val="24"/>
          <w:szCs w:val="24"/>
          <w:lang w:val="en-US"/>
        </w:rPr>
      </w:pPr>
    </w:p>
    <w:p>
      <w:pPr>
        <w:pStyle w:val="Body"/>
        <w:spacing w:after="0"/>
        <w:rPr>
          <w:sz w:val="24"/>
          <w:szCs w:val="24"/>
        </w:rPr>
      </w:pPr>
      <w:r>
        <w:rPr>
          <w:sz w:val="24"/>
          <w:szCs w:val="24"/>
          <w:rtl w:val="0"/>
          <w:lang w:val="en-US"/>
        </w:rPr>
        <w:t>Name:</w:t>
      </w:r>
      <w:r>
        <w:rPr>
          <w:sz w:val="24"/>
          <w:szCs w:val="24"/>
          <w:rtl w:val="0"/>
          <w:lang w:val="en-US"/>
        </w:rPr>
        <w:t xml:space="preserve"> Jessica Budds</w:t>
      </w:r>
    </w:p>
    <w:p>
      <w:pPr>
        <w:pStyle w:val="Body"/>
        <w:spacing w:after="0"/>
        <w:rPr>
          <w:sz w:val="24"/>
          <w:szCs w:val="24"/>
        </w:rPr>
      </w:pPr>
      <w:r>
        <w:rPr>
          <w:sz w:val="24"/>
          <w:szCs w:val="24"/>
          <w:rtl w:val="0"/>
          <w:lang w:val="en-US"/>
        </w:rPr>
        <w:t>Organisation:</w:t>
        <w:tab/>
      </w:r>
      <w:r>
        <w:rPr>
          <w:sz w:val="24"/>
          <w:szCs w:val="24"/>
          <w:rtl w:val="0"/>
          <w:lang w:val="en-US"/>
        </w:rPr>
        <w:t xml:space="preserve">University of East Anglia  </w:t>
      </w:r>
    </w:p>
    <w:p>
      <w:pPr>
        <w:pStyle w:val="Body"/>
        <w:spacing w:after="0"/>
        <w:rPr>
          <w:sz w:val="24"/>
          <w:szCs w:val="24"/>
        </w:rPr>
      </w:pPr>
      <w:r>
        <w:rPr>
          <w:sz w:val="24"/>
          <w:szCs w:val="24"/>
          <w:rtl w:val="0"/>
          <w:lang w:val="en-US"/>
        </w:rPr>
        <w:t>Date of review:</w:t>
      </w:r>
      <w:r>
        <w:rPr>
          <w:sz w:val="24"/>
          <w:szCs w:val="24"/>
          <w:rtl w:val="0"/>
          <w:lang w:val="en-US"/>
        </w:rPr>
        <w:t xml:space="preserve">   10 April 2021 </w:t>
      </w:r>
    </w:p>
    <w:p>
      <w:pPr>
        <w:pStyle w:val="Body"/>
        <w:spacing w:after="0"/>
        <w:rPr>
          <w:sz w:val="24"/>
          <w:szCs w:val="24"/>
          <w:lang w:val="en-US"/>
        </w:rPr>
      </w:pPr>
    </w:p>
    <w:p>
      <w:pPr>
        <w:pStyle w:val="Body"/>
        <w:spacing w:after="0"/>
        <w:rPr>
          <w:sz w:val="24"/>
          <w:szCs w:val="24"/>
          <w:lang w:val="en-US"/>
        </w:rPr>
      </w:pPr>
    </w:p>
    <w:p>
      <w:pPr>
        <w:pStyle w:val="heading 3"/>
        <w:keepLines w:val="1"/>
        <w:numPr>
          <w:ilvl w:val="0"/>
          <w:numId w:val="2"/>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color w:val="4f81bd"/>
          <w:sz w:val="24"/>
          <w:szCs w:val="24"/>
          <w:u w:color="4f81bd"/>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240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This is an excellent project report that presents progress over 18 months in an clear, comprehensive, honest, and structured manner.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started in April 2019, and suffered some early delays due to funding decisions, which resulted in changes to some partnerships and administration.  Nevertheless, the kick-off meeting was able to take place in June 2019.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done comprises almost all of work packages 1 (systematic literature review) and 2 (design of methodological framework), and the groundwork for 3 (application of methodology to case studies) and 4 (identification of common narratives).  The work described constitutes excellent progress, with tasks completed to a high standard (e.g. literature review) and in a collaborative way across all partners.  Of particular note are the way in which the literature review gave rise to additional reviews to cover identified gaps, as well as core activities being led by partners in the Global South.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for work package 3 is contingent on field-based activities, and the team rightly raises concerns about the continued viability amid the pandemic, however, proposes some sensible suggestions for mitigation, e.g. secondary literature and online interviews.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Stakeholder engagement has comprised experts interviewed as part of the review, and local institutions in case study locations.  Work package 3 will also engage stakeholders as end-users.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has three journal articles underway, which are described with detail, which represents solid progress at this stage.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From the information presented, I am satisfied that progress has been excellent.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857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collaboration, coordination and mobility within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shd w:val="clear" w:color="auto" w:fill="ffff00"/>
                <w:rtl w:val="0"/>
                <w:lang w:val="en-US"/>
              </w:rPr>
              <w:t>Does the project meet the transnational nature and its added value?</w:t>
            </w:r>
            <w:r>
              <w:rPr>
                <w:rFonts w:ascii="Gill Sans MT" w:cs="Gill Sans MT" w:hAnsi="Gill Sans MT" w:eastAsia="Gill Sans MT"/>
                <w:i w:val="1"/>
                <w:iCs w:val="1"/>
                <w:sz w:val="24"/>
                <w:szCs w:val="24"/>
                <w:rtl w:val="0"/>
                <w:lang w:val="en-US"/>
              </w:rPr>
              <w:t xml:space="preserve"> </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As expected, coordination and mobility have been affected by the Covid-19 situation from 12 months into the project.  The situation threatens to affect work package 3 in particular, although valid mitigation measures are proposed.  Mobility is proposed from July 2021, so this could also be affected and would have to be substituted accordingly.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coordination activities described are very well-defined and strong, with a clear line of command across the project and for each work package.  The arrangements in terms of information sharing and feedback on activities are very well organised in terms of the use of emails, box, and physical followed by online meetings.  A good number of meetings across the project have been held to date.  This shows that the project work is integrated in a meaningful way across partners, whereby each partner (including those based in the Global South) leads an activity according to their specialisation but with feedback from other partners, and across the case study locations, whereby the project work is developing in tandem, and not in a fragmented way.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I am therefore satistifed that communication across the project, as well as the integration of the project work, is excellent and raises no concerns at this stage, and, indeed, provides added value to this programme. </w:t>
            </w: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03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external collaboration of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by WaterWorks2017</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report does not mention links with other JPI projects or other projects funded from other sources, perhaps as this is a larger and more interdisciplinary project than some of the others funded under this call, and comes across as being very autonomous in its own right.  I understand that this sort of engagement is expected, but in this case I am not concerned by its apparent absence.  Indeed, I think this project represents an example of how a good project under this call could be organised and managed, and that could perhaps be mobilised to inform other projects funded under the call. </w:t>
            </w:r>
            <w:r>
              <w:rPr>
                <w:rFonts w:ascii="Gill Sans MT" w:cs="Gill Sans MT" w:hAnsi="Gill Sans MT" w:eastAsia="Gill Sans MT"/>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(Maximum</w:t>
      </w:r>
      <w:r>
        <w:rPr>
          <w:rFonts w:ascii="Gill Sans MT" w:cs="Gill Sans MT" w:hAnsi="Gill Sans MT" w:eastAsia="Gill Sans MT"/>
          <w:i w:val="1"/>
          <w:iCs w:val="1"/>
          <w:sz w:val="24"/>
          <w:szCs w:val="24"/>
          <w:rtl w:val="0"/>
          <w:lang w:val="en-US"/>
        </w:rPr>
        <w:t xml:space="preserve">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39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12"/>
                <w:szCs w:val="12"/>
              </w:rPr>
            </w:pPr>
            <w:r>
              <w:rPr>
                <w:i w:val="1"/>
                <w:iCs w:val="1"/>
                <w:sz w:val="12"/>
                <w:szCs w:val="12"/>
                <w:rtl w:val="0"/>
                <w:lang w:val="en-US"/>
              </w:rPr>
              <w:t>Please evaluate the relation within the project results and the themes and the sub-themes</w:t>
            </w:r>
            <w:r>
              <w:rPr>
                <w:i w:val="1"/>
                <w:iCs w:val="1"/>
                <w:color w:val="ff0000"/>
                <w:sz w:val="12"/>
                <w:szCs w:val="12"/>
                <w:u w:color="ff0000"/>
                <w:rtl w:val="0"/>
                <w:lang w:val="en-US"/>
              </w:rPr>
              <w:t xml:space="preserve"> </w:t>
            </w:r>
            <w:r>
              <w:rPr>
                <w:i w:val="1"/>
                <w:iCs w:val="1"/>
                <w:sz w:val="12"/>
                <w:szCs w:val="12"/>
                <w:rtl w:val="0"/>
                <w:lang w:val="en-US"/>
              </w:rPr>
              <w:t>of the call.</w:t>
            </w:r>
          </w:p>
          <w:p>
            <w:pPr>
              <w:pStyle w:val="Body"/>
              <w:bidi w:val="0"/>
              <w:ind w:left="0" w:right="0" w:firstLine="0"/>
              <w:jc w:val="left"/>
              <w:rPr>
                <w:i w:val="1"/>
                <w:iCs w:val="1"/>
                <w:sz w:val="12"/>
                <w:szCs w:val="12"/>
                <w:rtl w:val="0"/>
              </w:rPr>
            </w:pPr>
            <w:r>
              <w:rPr>
                <w:i w:val="1"/>
                <w:iCs w:val="1"/>
                <w:sz w:val="12"/>
                <w:szCs w:val="12"/>
                <w:rtl w:val="0"/>
                <w:lang w:val="en-US"/>
              </w:rPr>
              <w:t>Theme 1. Enabling sustainable management of water resources.</w:t>
            </w:r>
          </w:p>
          <w:p>
            <w:pPr>
              <w:pStyle w:val="Body"/>
              <w:bidi w:val="0"/>
              <w:ind w:left="0" w:right="0" w:firstLine="0"/>
              <w:jc w:val="left"/>
              <w:rPr>
                <w:sz w:val="12"/>
                <w:szCs w:val="12"/>
                <w:rtl w:val="0"/>
              </w:rPr>
            </w:pPr>
            <w:r>
              <w:rPr>
                <w:sz w:val="12"/>
                <w:szCs w:val="12"/>
                <w:rtl w:val="0"/>
                <w:lang w:val="en-US"/>
              </w:rPr>
              <w:t>The overall aim for this theme is to develop new governance and knowledge management approaches.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1.1. Promoting adaptive water management for global change:</w:t>
            </w:r>
          </w:p>
          <w:p>
            <w:pPr>
              <w:pStyle w:val="Body"/>
              <w:bidi w:val="0"/>
              <w:ind w:left="360" w:right="0" w:firstLine="0"/>
              <w:jc w:val="left"/>
              <w:rPr>
                <w:sz w:val="12"/>
                <w:szCs w:val="12"/>
                <w:rtl w:val="0"/>
              </w:rPr>
            </w:pPr>
            <w:r>
              <w:rPr>
                <w:sz w:val="12"/>
                <w:szCs w:val="12"/>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1.2. Integrative management by implementing Natural Water Retention Measures (NWRM) such as Managed Aquifer Recharge (MAR):</w:t>
            </w:r>
          </w:p>
          <w:p>
            <w:pPr>
              <w:pStyle w:val="Body"/>
              <w:bidi w:val="0"/>
              <w:ind w:left="360" w:right="0" w:firstLine="0"/>
              <w:jc w:val="left"/>
              <w:rPr>
                <w:sz w:val="12"/>
                <w:szCs w:val="12"/>
                <w:rtl w:val="0"/>
              </w:rPr>
            </w:pPr>
            <w:r>
              <w:rPr>
                <w:sz w:val="12"/>
                <w:szCs w:val="12"/>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1.3. Mitigating water stress in coastal zones and urbanized areas:</w:t>
            </w:r>
          </w:p>
          <w:p>
            <w:pPr>
              <w:pStyle w:val="Body"/>
              <w:bidi w:val="0"/>
              <w:ind w:left="360" w:right="0" w:firstLine="0"/>
              <w:jc w:val="left"/>
              <w:rPr>
                <w:sz w:val="12"/>
                <w:szCs w:val="12"/>
                <w:rtl w:val="0"/>
              </w:rPr>
            </w:pPr>
            <w:r>
              <w:rPr>
                <w:sz w:val="12"/>
                <w:szCs w:val="12"/>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12"/>
                <w:szCs w:val="12"/>
                <w:rtl w:val="0"/>
              </w:rPr>
            </w:pPr>
            <w:r>
              <w:rPr>
                <w:i w:val="1"/>
                <w:iCs w:val="1"/>
                <w:sz w:val="12"/>
                <w:szCs w:val="12"/>
                <w:rtl w:val="0"/>
                <w:lang w:val="en-US"/>
              </w:rPr>
              <w:t>Theme 2. Strengthening socio-economic approaches to water management.</w:t>
            </w:r>
          </w:p>
          <w:p>
            <w:pPr>
              <w:pStyle w:val="Body"/>
              <w:bidi w:val="0"/>
              <w:ind w:left="0" w:right="0" w:firstLine="0"/>
              <w:jc w:val="left"/>
              <w:rPr>
                <w:sz w:val="12"/>
                <w:szCs w:val="12"/>
                <w:rtl w:val="0"/>
              </w:rPr>
            </w:pPr>
            <w:r>
              <w:rPr>
                <w:sz w:val="12"/>
                <w:szCs w:val="12"/>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2.1. Integrating economic and social analyses into decision-making processes:</w:t>
            </w:r>
          </w:p>
          <w:p>
            <w:pPr>
              <w:pStyle w:val="Body"/>
              <w:bidi w:val="0"/>
              <w:ind w:left="360" w:right="0" w:firstLine="0"/>
              <w:jc w:val="left"/>
              <w:rPr>
                <w:sz w:val="12"/>
                <w:szCs w:val="12"/>
                <w:rtl w:val="0"/>
              </w:rPr>
            </w:pPr>
            <w:r>
              <w:rPr>
                <w:sz w:val="12"/>
                <w:szCs w:val="12"/>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9"/>
              </w:numPr>
              <w:bidi w:val="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2.2. The reuse of water:</w:t>
            </w:r>
          </w:p>
          <w:p>
            <w:pPr>
              <w:pStyle w:val="List Paragraph"/>
              <w:bidi w:val="0"/>
              <w:ind w:left="357" w:right="0" w:firstLine="0"/>
              <w:jc w:val="left"/>
              <w:rPr>
                <w:rFonts w:ascii="Gill Sans MT" w:cs="Gill Sans MT" w:hAnsi="Gill Sans MT" w:eastAsia="Gill Sans MT"/>
                <w:sz w:val="12"/>
                <w:szCs w:val="12"/>
                <w:rtl w:val="0"/>
                <w:lang w:val="en-US"/>
              </w:rPr>
            </w:pPr>
            <w:r>
              <w:rPr>
                <w:rFonts w:ascii="Gill Sans MT" w:cs="Gill Sans MT" w:hAnsi="Gill Sans MT" w:eastAsia="Gill Sans MT"/>
                <w:sz w:val="12"/>
                <w:szCs w:val="12"/>
                <w:rtl w:val="0"/>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w:t>
            </w:r>
          </w:p>
          <w:p>
            <w:pPr>
              <w:pStyle w:val="List Paragraph"/>
              <w:bidi w:val="0"/>
              <w:ind w:left="357" w:right="0" w:firstLine="0"/>
              <w:jc w:val="left"/>
              <w:rPr>
                <w:rFonts w:ascii="Gill Sans MT" w:cs="Gill Sans MT" w:hAnsi="Gill Sans MT" w:eastAsia="Gill Sans MT"/>
                <w:sz w:val="12"/>
                <w:szCs w:val="12"/>
                <w:rtl w:val="0"/>
              </w:rPr>
            </w:pPr>
            <w:r>
              <w:rPr>
                <w:rFonts w:ascii="Gill Sans MT" w:cs="Gill Sans MT" w:hAnsi="Gill Sans MT" w:eastAsia="Gill Sans MT"/>
                <w:sz w:val="12"/>
                <w:szCs w:val="12"/>
                <w:rtl w:val="0"/>
                <w:lang w:val="en-US"/>
              </w:rPr>
              <w:t>contaminants must consider the cost of the technology vs yield and realistic options for reuse of the recovered water. Please refer to projects funded under previous Water JPI Joint Calls (2013, 2015, 2016 and 2017) to avoid any duplication. See Joint Calls on Water JPI website.</w:t>
            </w:r>
          </w:p>
          <w:p>
            <w:pPr>
              <w:pStyle w:val="List Paragraph"/>
              <w:numPr>
                <w:ilvl w:val="0"/>
                <w:numId w:val="9"/>
              </w:numPr>
              <w:bidi w:val="0"/>
              <w:spacing w:after="0"/>
              <w:ind w:right="0"/>
              <w:jc w:val="left"/>
              <w:rPr>
                <w:rFonts w:ascii="Gill Sans MT" w:cs="Gill Sans MT" w:hAnsi="Gill Sans MT" w:eastAsia="Gill Sans MT"/>
                <w:sz w:val="12"/>
                <w:szCs w:val="12"/>
                <w:rtl w:val="0"/>
                <w:lang w:val="en-US"/>
              </w:rPr>
            </w:pPr>
            <w:r>
              <w:rPr>
                <w:rFonts w:ascii="Gill Sans MT" w:cs="Gill Sans MT" w:hAnsi="Gill Sans MT" w:eastAsia="Gill Sans MT"/>
                <w:i w:val="1"/>
                <w:iCs w:val="1"/>
                <w:sz w:val="12"/>
                <w:szCs w:val="12"/>
                <w:rtl w:val="0"/>
                <w:lang w:val="en-US"/>
              </w:rPr>
              <w:t>Sub-theme 2.3. Connecting science to society:</w:t>
            </w:r>
          </w:p>
          <w:p>
            <w:pPr>
              <w:pStyle w:val="Body"/>
              <w:bidi w:val="0"/>
              <w:ind w:left="360" w:right="0" w:firstLine="0"/>
              <w:jc w:val="left"/>
              <w:rPr>
                <w:sz w:val="12"/>
                <w:szCs w:val="12"/>
                <w:rtl w:val="0"/>
              </w:rPr>
            </w:pPr>
            <w:r>
              <w:rPr>
                <w:sz w:val="12"/>
                <w:szCs w:val="12"/>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2.4. Promoting new governance and knowledge management approaches:</w:t>
            </w:r>
          </w:p>
          <w:p>
            <w:pPr>
              <w:pStyle w:val="Body"/>
              <w:bidi w:val="0"/>
              <w:ind w:left="360" w:right="0" w:firstLine="0"/>
              <w:jc w:val="left"/>
              <w:rPr>
                <w:sz w:val="12"/>
                <w:szCs w:val="12"/>
                <w:rtl w:val="0"/>
              </w:rPr>
            </w:pPr>
            <w:r>
              <w:rPr>
                <w:sz w:val="12"/>
                <w:szCs w:val="12"/>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12"/>
                <w:szCs w:val="12"/>
                <w:rtl w:val="0"/>
              </w:rPr>
            </w:pPr>
            <w:r>
              <w:rPr>
                <w:i w:val="1"/>
                <w:iCs w:val="1"/>
                <w:sz w:val="12"/>
                <w:szCs w:val="12"/>
                <w:rtl w:val="0"/>
                <w:lang w:val="en-US"/>
              </w:rPr>
              <w:t>Theme 3. Supporting tools for sustainable integrative management of water resources.</w:t>
            </w:r>
          </w:p>
          <w:p>
            <w:pPr>
              <w:pStyle w:val="Body"/>
              <w:bidi w:val="0"/>
              <w:ind w:left="0" w:right="0" w:firstLine="0"/>
              <w:jc w:val="both"/>
              <w:rPr>
                <w:i w:val="0"/>
                <w:iCs w:val="0"/>
                <w:sz w:val="12"/>
                <w:szCs w:val="12"/>
                <w:rtl w:val="0"/>
                <w:lang w:val="en-US"/>
              </w:rPr>
            </w:pPr>
            <w:r>
              <w:rPr>
                <w:i w:val="0"/>
                <w:iCs w:val="0"/>
                <w:sz w:val="12"/>
                <w:szCs w:val="12"/>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This is a highly interdisciplinary and integrated project, and so is extremely well aligned with the themes of the JPI programme as well as its ambition.  It could be expected that the impacts of the pandemic will be uneven across the case studies as restrictions and possibilities differ across places, and this is something for the team to be mindful of as the project moves into work package 3. </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rtl w:val="0"/>
              </w:rPr>
            </w:pPr>
            <w:r>
              <w:rPr>
                <w:i w:val="0"/>
                <w:iCs w:val="0"/>
                <w:sz w:val="12"/>
                <w:szCs w:val="12"/>
                <w:lang w:val="en-US"/>
              </w:rPr>
            </w:r>
          </w:p>
        </w:tc>
      </w:tr>
    </w:tbl>
    <w:p>
      <w:pPr>
        <w:pStyle w:val="Body"/>
        <w:widowControl w:val="0"/>
        <w:spacing w:after="0"/>
        <w:jc w:val="center"/>
        <w:rPr>
          <w:lang w:val="en-US"/>
        </w:rPr>
      </w:pPr>
    </w:p>
    <w:p>
      <w:pPr>
        <w:pStyle w:val="Body"/>
        <w:spacing w:after="0"/>
        <w:rPr>
          <w:lang w:val="en-US"/>
        </w:rPr>
      </w:pPr>
    </w:p>
    <w:p>
      <w:pPr>
        <w:pStyle w:val="Body"/>
        <w:numPr>
          <w:ilvl w:val="0"/>
          <w:numId w:val="10"/>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09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lang w:val="en-US"/>
              </w:rPr>
            </w:pPr>
            <w:r>
              <w:rPr>
                <w:i w:val="1"/>
                <w:iCs w:val="1"/>
                <w:sz w:val="24"/>
                <w:szCs w:val="24"/>
                <w:rtl w:val="0"/>
                <w:lang w:val="en-US"/>
              </w:rPr>
              <w:t>Please evaluate the participation of stakeholder/industry on the project and the added value of this participation.</w:t>
            </w:r>
          </w:p>
          <w:p>
            <w:pPr>
              <w:pStyle w:val="Body"/>
              <w:spacing w:after="0"/>
              <w:rPr>
                <w:i w:val="1"/>
                <w:iCs w:val="1"/>
                <w:sz w:val="24"/>
                <w:szCs w:val="24"/>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Stakeholder engagement is good, but could also be scaled up to wider and/or international actors at this stage.  The communication plan may need to be revised in line with the lower possibility of conducting face-to-face activities. </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1"/>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26</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Set out how face-to-face research methods, such as participant observation, will be adjusted if physical fieldwork is not possible in some case study locations.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Potential mitigation measures needed.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28</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The nature of external stakeholders could be further elaborated.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Information provided rather general. </w:t>
            </w:r>
          </w:p>
        </w:tc>
      </w:tr>
      <w:tr>
        <w:tblPrEx>
          <w:shd w:val="clear" w:color="auto" w:fill="ced7e7"/>
        </w:tblPrEx>
        <w:trPr>
          <w:trHeight w:val="1256"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29</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Would the visit to Sweden be replicated in another way or postponed if travel is still not possible by June 2021?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Potential mitigation measures needed. </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Text Eco Inno"/>
        <w:spacing w:before="0" w:after="0" w:line="276" w:lineRule="auto"/>
        <w:jc w:val="both"/>
        <w:rPr>
          <w:rFonts w:ascii="Gill Sans MT" w:cs="Gill Sans MT" w:hAnsi="Gill Sans MT" w:eastAsia="Gill Sans MT"/>
          <w:sz w:val="24"/>
          <w:szCs w:val="24"/>
        </w:rPr>
      </w:pPr>
    </w:p>
    <w:p>
      <w:pPr>
        <w:pStyle w:val="Body"/>
        <w:numPr>
          <w:ilvl w:val="0"/>
          <w:numId w:val="1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Recommendations/ problems and risks</w:t>
      </w:r>
      <w:r>
        <w:rPr>
          <w:rFonts w:ascii="Gill Sans MT" w:cs="Gill Sans MT" w:hAnsi="Gill Sans MT" w:eastAsia="Gill Sans MT"/>
          <w:b w:val="0"/>
          <w:bCs w:val="0"/>
          <w:color w:val="000000"/>
          <w:sz w:val="24"/>
          <w:szCs w:val="24"/>
          <w:rtl w:val="0"/>
          <w:lang w:val="en-US"/>
        </w:rPr>
        <w:t xml:space="preserve"> (Maximum</w:t>
      </w:r>
      <w:r>
        <w:rPr>
          <w:rFonts w:ascii="Gill Sans MT" w:cs="Gill Sans MT" w:hAnsi="Gill Sans MT" w:eastAsia="Gill Sans MT"/>
          <w:b w:val="0"/>
          <w:bCs w:val="0"/>
          <w:i w:val="1"/>
          <w:iCs w:val="1"/>
          <w:color w:val="000000"/>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479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i w:val="1"/>
                <w:iCs w:val="1"/>
                <w:sz w:val="24"/>
                <w:szCs w:val="24"/>
                <w:lang w:val="en-US"/>
              </w:rPr>
            </w:pPr>
            <w:r>
              <w:rPr>
                <w:i w:val="1"/>
                <w:iCs w:val="1"/>
                <w:sz w:val="24"/>
                <w:szCs w:val="24"/>
                <w:rtl w:val="0"/>
                <w:lang w:val="en-US"/>
              </w:rPr>
              <w:t>Please include problems identified or specific risks to the projects, deviations in relation to the planned work or budget, as well specific recommendations/feedback with could be relevant to the Consortium.</w:t>
            </w:r>
          </w:p>
          <w:p>
            <w:pPr>
              <w:pStyle w:val="Body"/>
              <w:spacing w:after="0" w:line="276" w:lineRule="auto"/>
              <w:rPr>
                <w:i w:val="1"/>
                <w:iCs w:val="1"/>
                <w:sz w:val="24"/>
                <w:szCs w:val="24"/>
                <w:lang w:val="en-US"/>
              </w:rPr>
            </w:pPr>
          </w:p>
          <w:p>
            <w:pPr>
              <w:pStyle w:val="Body"/>
              <w:spacing w:after="0" w:line="276" w:lineRule="auto"/>
              <w:rPr>
                <w:sz w:val="24"/>
                <w:szCs w:val="24"/>
                <w:lang w:val="en-US"/>
              </w:rPr>
            </w:pPr>
            <w:r>
              <w:rPr>
                <w:sz w:val="24"/>
                <w:szCs w:val="24"/>
                <w:rtl w:val="0"/>
                <w:lang w:val="en-US"/>
              </w:rPr>
              <w:t xml:space="preserve">The project has made very good and solid progress, despite delays arising from funding issues and, after 12 months, the shift to online activities as a result of the Covid-19 pandemic.  The project is well organised and administered, and activities have been completed to a high standard, with key milestones achieved, and in a manner that integrates the project partners in an interdisciplinary and equitable way.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 xml:space="preserve">I have no concerns about the progress of this project, and feel that it represents best practice in terms of the organisation of the project as well as the presentation of the progress report. </w:t>
            </w:r>
          </w:p>
          <w:p>
            <w:pPr>
              <w:pStyle w:val="Body"/>
              <w:spacing w:after="0" w:line="276" w:lineRule="auto"/>
            </w:pPr>
            <w:r>
              <w:rPr>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Body"/>
        <w:spacing w:after="0"/>
        <w:jc w:val="center"/>
      </w:pPr>
      <w:r>
        <w:rPr>
          <w:lang w:val="en-US"/>
        </w:rPr>
        <w:br w:type="page"/>
      </w: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EVALUATION CONSENSUS REPORT</w:t>
      </w:r>
    </w:p>
    <w:p>
      <w:pPr>
        <w:pStyle w:val="Body"/>
        <w:spacing w:after="0"/>
        <w:jc w:val="center"/>
        <w:rPr>
          <w:b w:val="1"/>
          <w:bCs w:val="1"/>
          <w:color w:val="4f81bd"/>
          <w:sz w:val="26"/>
          <w:szCs w:val="26"/>
          <w:u w:color="4f81bd"/>
          <w:lang w:val="en-US"/>
        </w:rPr>
      </w:pPr>
    </w:p>
    <w:p>
      <w:pPr>
        <w:pStyle w:val="Body"/>
        <w:spacing w:after="0"/>
        <w:jc w:val="both"/>
        <w:rPr>
          <w:rFonts w:ascii="Gill Sans MT" w:cs="Gill Sans MT" w:hAnsi="Gill Sans MT" w:eastAsia="Gill Sans MT"/>
          <w:b w:val="1"/>
          <w:bCs w:val="1"/>
          <w:color w:val="ff0000"/>
          <w:sz w:val="26"/>
          <w:szCs w:val="26"/>
          <w:u w:color="ff0000"/>
        </w:rPr>
      </w:pPr>
      <w:r>
        <w:rPr>
          <w:rFonts w:ascii="Gill Sans MT" w:cs="Gill Sans MT" w:hAnsi="Gill Sans MT" w:eastAsia="Gill Sans MT"/>
          <w:b w:val="1"/>
          <w:bCs w:val="1"/>
          <w:color w:val="ff0000"/>
          <w:sz w:val="26"/>
          <w:szCs w:val="26"/>
          <w:u w:color="ff0000"/>
          <w:rtl w:val="0"/>
          <w:lang w:val="en-US"/>
        </w:rPr>
        <w:t>This Consensus Report will be made available to the Consortium as well as CSC and JPI Water GB.</w:t>
      </w:r>
    </w:p>
    <w:p>
      <w:pPr>
        <w:pStyle w:val="Body"/>
        <w:spacing w:after="0"/>
        <w:rPr>
          <w:lang w:val="en-US"/>
        </w:rPr>
      </w:pP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CONSORTIUM ACRONYM</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p>
    <w:p>
      <w:pPr>
        <w:pStyle w:val="Body"/>
        <w:spacing w:after="0"/>
        <w:rPr>
          <w:lang w:val="en-US"/>
        </w:rPr>
      </w:pP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FOLLOW-UP GROUP</w:t>
      </w:r>
    </w:p>
    <w:p>
      <w:pPr>
        <w:pStyle w:val="Body"/>
        <w:spacing w:after="0"/>
        <w:rPr>
          <w:sz w:val="24"/>
          <w:szCs w:val="24"/>
          <w:lang w:val="en-US"/>
        </w:rPr>
      </w:pPr>
    </w:p>
    <w:p>
      <w:pPr>
        <w:pStyle w:val="Body"/>
        <w:spacing w:after="0"/>
        <w:rPr>
          <w:sz w:val="24"/>
          <w:szCs w:val="24"/>
        </w:rPr>
      </w:pPr>
      <w:r>
        <w:rPr>
          <w:sz w:val="24"/>
          <w:szCs w:val="24"/>
          <w:rtl w:val="0"/>
          <w:lang w:val="en-US"/>
        </w:rPr>
        <w:t>Please include the data of the FG members reviewing the report</w:t>
      </w:r>
    </w:p>
    <w:tbl>
      <w:tblPr>
        <w:tblW w:w="106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6"/>
        <w:gridCol w:w="6166"/>
      </w:tblGrid>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Name</w:t>
            </w: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Organisation</w:t>
            </w: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center"/>
        <w:rPr>
          <w:sz w:val="24"/>
          <w:szCs w:val="24"/>
        </w:rPr>
      </w:pPr>
    </w:p>
    <w:p>
      <w:pPr>
        <w:pStyle w:val="Body"/>
        <w:spacing w:after="0"/>
        <w:rPr>
          <w:sz w:val="24"/>
          <w:szCs w:val="24"/>
          <w:lang w:val="en-US"/>
        </w:rPr>
      </w:pPr>
    </w:p>
    <w:p>
      <w:pPr>
        <w:pStyle w:val="Body"/>
        <w:spacing w:after="0"/>
        <w:rPr>
          <w:lang w:val="en-US"/>
        </w:rPr>
      </w:pPr>
    </w:p>
    <w:p>
      <w:pPr>
        <w:pStyle w:val="heading 3"/>
        <w:keepLines w:val="1"/>
        <w:numPr>
          <w:ilvl w:val="0"/>
          <w:numId w:val="1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41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81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collaboration, coordination and mobility within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 xml:space="preserve">Does the project meet the transnational nature and its added value? </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1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(Maximum 250</w:t>
      </w:r>
      <w:r>
        <w:rPr>
          <w:rFonts w:ascii="Gill Sans MT" w:cs="Gill Sans MT" w:hAnsi="Gill Sans MT" w:eastAsia="Gill Sans MT"/>
          <w:i w:val="1"/>
          <w:iCs w:val="1"/>
          <w:sz w:val="24"/>
          <w:szCs w:val="24"/>
          <w:rtl w:val="0"/>
          <w:lang w:val="en-US"/>
        </w:rPr>
        <w:t xml:space="preserve">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7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external collaboration of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under the 2018 Joint Call:</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20"/>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(Maximum 250 words</w:t>
      </w:r>
      <w:r>
        <w:rPr>
          <w:rFonts w:ascii="Gill Sans MT" w:cs="Gill Sans MT" w:hAnsi="Gill Sans MT" w:eastAsia="Gill Sans MT"/>
          <w:i w:val="1"/>
          <w:iCs w:val="1"/>
          <w:sz w:val="24"/>
          <w:szCs w:val="24"/>
          <w:rtl w:val="0"/>
          <w:lang w:val="en-US"/>
        </w:rPr>
        <w:t>)</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4"/>
                <w:szCs w:val="24"/>
              </w:rPr>
            </w:pPr>
            <w:r>
              <w:rPr>
                <w:i w:val="1"/>
                <w:iCs w:val="1"/>
                <w:sz w:val="24"/>
                <w:szCs w:val="24"/>
                <w:rtl w:val="0"/>
                <w:lang w:val="en-US"/>
              </w:rPr>
              <w:t>Please evaluate relation within the project results and the themes and the sub-themes of the call.</w:t>
            </w:r>
          </w:p>
          <w:p>
            <w:pPr>
              <w:pStyle w:val="Body"/>
              <w:bidi w:val="0"/>
              <w:ind w:left="0" w:right="0" w:firstLine="0"/>
              <w:jc w:val="left"/>
              <w:rPr>
                <w:i w:val="1"/>
                <w:iCs w:val="1"/>
                <w:sz w:val="24"/>
                <w:szCs w:val="24"/>
                <w:rtl w:val="0"/>
              </w:rPr>
            </w:pPr>
            <w:r>
              <w:rPr>
                <w:i w:val="1"/>
                <w:iCs w:val="1"/>
                <w:sz w:val="24"/>
                <w:szCs w:val="24"/>
                <w:rtl w:val="0"/>
                <w:lang w:val="en-US"/>
              </w:rPr>
              <w:t>Theme 1. Enabling sustainable management of water resources.</w:t>
            </w:r>
          </w:p>
          <w:p>
            <w:pPr>
              <w:pStyle w:val="Body"/>
              <w:bidi w:val="0"/>
              <w:ind w:left="0" w:right="0" w:firstLine="0"/>
              <w:jc w:val="left"/>
              <w:rPr>
                <w:sz w:val="24"/>
                <w:szCs w:val="24"/>
                <w:rtl w:val="0"/>
              </w:rPr>
            </w:pPr>
            <w:r>
              <w:rPr>
                <w:sz w:val="24"/>
                <w:szCs w:val="24"/>
                <w:rtl w:val="0"/>
                <w:lang w:val="en-US"/>
              </w:rPr>
              <w:t>The overall aim for this theme is to develop new governance and knowledge management approaches.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1.1. Promoting adaptive water management for global change:</w:t>
            </w:r>
          </w:p>
          <w:p>
            <w:pPr>
              <w:pStyle w:val="Body"/>
              <w:bidi w:val="0"/>
              <w:ind w:left="360" w:right="0" w:firstLine="0"/>
              <w:jc w:val="left"/>
              <w:rPr>
                <w:sz w:val="24"/>
                <w:szCs w:val="24"/>
                <w:rtl w:val="0"/>
              </w:rPr>
            </w:pPr>
            <w:r>
              <w:rPr>
                <w:sz w:val="24"/>
                <w:szCs w:val="24"/>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1.2. Integrative management by implementing Natural Water Retention Measures (NWRM) such as Managed Aquifer Recharge (MAR):</w:t>
            </w:r>
          </w:p>
          <w:p>
            <w:pPr>
              <w:pStyle w:val="Body"/>
              <w:bidi w:val="0"/>
              <w:ind w:left="360" w:right="0" w:firstLine="0"/>
              <w:jc w:val="left"/>
              <w:rPr>
                <w:sz w:val="24"/>
                <w:szCs w:val="24"/>
                <w:rtl w:val="0"/>
              </w:rPr>
            </w:pPr>
            <w:r>
              <w:rPr>
                <w:sz w:val="24"/>
                <w:szCs w:val="24"/>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1.3. Mitigating water stress in coastal zones and urbanized areas:</w:t>
            </w:r>
          </w:p>
          <w:p>
            <w:pPr>
              <w:pStyle w:val="Body"/>
              <w:bidi w:val="0"/>
              <w:ind w:left="360" w:right="0" w:firstLine="0"/>
              <w:jc w:val="left"/>
              <w:rPr>
                <w:sz w:val="24"/>
                <w:szCs w:val="24"/>
                <w:rtl w:val="0"/>
              </w:rPr>
            </w:pPr>
            <w:r>
              <w:rPr>
                <w:sz w:val="24"/>
                <w:szCs w:val="24"/>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24"/>
                <w:szCs w:val="24"/>
                <w:rtl w:val="0"/>
              </w:rPr>
            </w:pPr>
            <w:r>
              <w:rPr>
                <w:i w:val="1"/>
                <w:iCs w:val="1"/>
                <w:sz w:val="24"/>
                <w:szCs w:val="24"/>
                <w:rtl w:val="0"/>
                <w:lang w:val="en-US"/>
              </w:rPr>
              <w:t>Theme 2. Strengthening socio-economic approaches to water management.</w:t>
            </w:r>
          </w:p>
          <w:p>
            <w:pPr>
              <w:pStyle w:val="Body"/>
              <w:bidi w:val="0"/>
              <w:ind w:left="0" w:right="0" w:firstLine="0"/>
              <w:jc w:val="left"/>
              <w:rPr>
                <w:sz w:val="24"/>
                <w:szCs w:val="24"/>
                <w:rtl w:val="0"/>
              </w:rPr>
            </w:pPr>
            <w:r>
              <w:rPr>
                <w:sz w:val="24"/>
                <w:szCs w:val="24"/>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2.1. Integrating economic and social analyses into decision-making processes:</w:t>
            </w:r>
          </w:p>
          <w:p>
            <w:pPr>
              <w:pStyle w:val="Body"/>
              <w:bidi w:val="0"/>
              <w:ind w:left="360" w:right="0" w:firstLine="0"/>
              <w:jc w:val="left"/>
              <w:rPr>
                <w:sz w:val="24"/>
                <w:szCs w:val="24"/>
                <w:rtl w:val="0"/>
              </w:rPr>
            </w:pPr>
            <w:r>
              <w:rPr>
                <w:sz w:val="24"/>
                <w:szCs w:val="24"/>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21"/>
              </w:numPr>
              <w:bidi w:val="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2.2. The reuse of water:</w:t>
            </w:r>
          </w:p>
          <w:p>
            <w:pPr>
              <w:pStyle w:val="List Paragraph"/>
              <w:bidi w:val="0"/>
              <w:ind w:left="357" w:right="0" w:firstLine="0"/>
              <w:jc w:val="left"/>
              <w:rPr>
                <w:rFonts w:ascii="Gill Sans MT" w:cs="Gill Sans MT" w:hAnsi="Gill Sans MT" w:eastAsia="Gill Sans MT"/>
                <w:sz w:val="24"/>
                <w:szCs w:val="24"/>
                <w:rtl w:val="0"/>
              </w:rPr>
            </w:pPr>
            <w:r>
              <w:rPr>
                <w:rFonts w:ascii="Gill Sans MT" w:cs="Gill Sans MT" w:hAnsi="Gill Sans MT" w:eastAsia="Gill Sans MT"/>
                <w:sz w:val="24"/>
                <w:szCs w:val="24"/>
                <w:rtl w:val="0"/>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Water JPI website.</w:t>
            </w:r>
          </w:p>
          <w:p>
            <w:pPr>
              <w:pStyle w:val="List Paragraph"/>
              <w:numPr>
                <w:ilvl w:val="0"/>
                <w:numId w:val="21"/>
              </w:numPr>
              <w:bidi w:val="0"/>
              <w:spacing w:after="0"/>
              <w:ind w:right="0"/>
              <w:jc w:val="left"/>
              <w:rPr>
                <w:rFonts w:ascii="Gill Sans MT" w:cs="Gill Sans MT" w:hAnsi="Gill Sans MT" w:eastAsia="Gill Sans MT"/>
                <w:sz w:val="24"/>
                <w:szCs w:val="24"/>
                <w:rtl w:val="0"/>
                <w:lang w:val="en-US"/>
              </w:rPr>
            </w:pPr>
            <w:r>
              <w:rPr>
                <w:rFonts w:ascii="Gill Sans MT" w:cs="Gill Sans MT" w:hAnsi="Gill Sans MT" w:eastAsia="Gill Sans MT"/>
                <w:i w:val="1"/>
                <w:iCs w:val="1"/>
                <w:sz w:val="24"/>
                <w:szCs w:val="24"/>
                <w:rtl w:val="0"/>
                <w:lang w:val="en-US"/>
              </w:rPr>
              <w:t>Sub-theme 2.3. Connecting science to society:</w:t>
            </w:r>
          </w:p>
          <w:p>
            <w:pPr>
              <w:pStyle w:val="Body"/>
              <w:bidi w:val="0"/>
              <w:ind w:left="360" w:right="0" w:firstLine="0"/>
              <w:jc w:val="left"/>
              <w:rPr>
                <w:sz w:val="24"/>
                <w:szCs w:val="24"/>
                <w:rtl w:val="0"/>
              </w:rPr>
            </w:pPr>
            <w:r>
              <w:rPr>
                <w:sz w:val="24"/>
                <w:szCs w:val="24"/>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2.4. Promoting new governance and knowledge management approaches:</w:t>
            </w:r>
          </w:p>
          <w:p>
            <w:pPr>
              <w:pStyle w:val="Body"/>
              <w:bidi w:val="0"/>
              <w:ind w:left="360" w:right="0" w:firstLine="0"/>
              <w:jc w:val="left"/>
              <w:rPr>
                <w:sz w:val="24"/>
                <w:szCs w:val="24"/>
                <w:rtl w:val="0"/>
              </w:rPr>
            </w:pPr>
            <w:r>
              <w:rPr>
                <w:sz w:val="24"/>
                <w:szCs w:val="24"/>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24"/>
                <w:szCs w:val="24"/>
                <w:rtl w:val="0"/>
              </w:rPr>
            </w:pPr>
            <w:r>
              <w:rPr>
                <w:i w:val="1"/>
                <w:iCs w:val="1"/>
                <w:sz w:val="24"/>
                <w:szCs w:val="24"/>
                <w:rtl w:val="0"/>
                <w:lang w:val="en-US"/>
              </w:rPr>
              <w:t>Theme 3. Supporting tools for sustainable integrative management of water resources.</w:t>
            </w:r>
          </w:p>
          <w:p>
            <w:pPr>
              <w:pStyle w:val="Body"/>
              <w:bidi w:val="0"/>
              <w:ind w:left="0" w:right="0" w:firstLine="0"/>
              <w:jc w:val="left"/>
              <w:rPr>
                <w:rtl w:val="0"/>
              </w:rPr>
            </w:pPr>
            <w:r>
              <w:rPr>
                <w:rFonts w:ascii="Gill Sans MT" w:cs="Gill Sans MT" w:hAnsi="Gill Sans MT" w:eastAsia="Gill Sans MT"/>
                <w:i w:val="0"/>
                <w:iCs w:val="0"/>
                <w:sz w:val="24"/>
                <w:szCs w:val="24"/>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Pr>
                <w:i w:val="1"/>
                <w:iCs w:val="1"/>
                <w:sz w:val="24"/>
                <w:szCs w:val="24"/>
                <w:rtl w:val="0"/>
                <w:lang w:val="en-US"/>
              </w:rPr>
              <w:t xml:space="preserve"> </w:t>
            </w:r>
          </w:p>
        </w:tc>
      </w:tr>
    </w:tbl>
    <w:p>
      <w:pPr>
        <w:pStyle w:val="Body"/>
        <w:widowControl w:val="0"/>
        <w:spacing w:after="0"/>
        <w:jc w:val="center"/>
        <w:rPr>
          <w:lang w:val="en-US"/>
        </w:rPr>
      </w:pPr>
    </w:p>
    <w:p>
      <w:pPr>
        <w:pStyle w:val="Body"/>
        <w:spacing w:after="0"/>
        <w:rPr>
          <w:sz w:val="24"/>
          <w:szCs w:val="24"/>
          <w:lang w:val="en-US"/>
        </w:rPr>
      </w:pPr>
    </w:p>
    <w:p>
      <w:pPr>
        <w:pStyle w:val="Body"/>
        <w:numPr>
          <w:ilvl w:val="0"/>
          <w:numId w:val="2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7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participation of stakeholders/industry on the project and the added value of this participation.</w:t>
            </w:r>
          </w:p>
        </w:tc>
      </w:tr>
    </w:tbl>
    <w:p>
      <w:pPr>
        <w:pStyle w:val="Body"/>
        <w:widowControl w:val="0"/>
        <w:spacing w:after="0"/>
        <w:jc w:val="center"/>
        <w:rPr>
          <w:lang w:val="en-US"/>
        </w:rPr>
      </w:pPr>
    </w:p>
    <w:p>
      <w:pPr>
        <w:pStyle w:val="Body"/>
        <w:spacing w:after="0"/>
        <w:rPr>
          <w:sz w:val="24"/>
          <w:szCs w:val="24"/>
          <w:lang w:val="en-US"/>
        </w:rPr>
      </w:pPr>
    </w:p>
    <w:p>
      <w:pPr>
        <w:pStyle w:val="heading 3"/>
        <w:keepLines w:val="1"/>
        <w:numPr>
          <w:ilvl w:val="0"/>
          <w:numId w:val="23"/>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Body"/>
        <w:spacing w:after="0"/>
        <w:rPr>
          <w:sz w:val="24"/>
          <w:szCs w:val="24"/>
          <w:lang w:val="en-US"/>
        </w:rPr>
      </w:pPr>
    </w:p>
    <w:p>
      <w:pPr>
        <w:pStyle w:val="Body"/>
        <w:numPr>
          <w:ilvl w:val="0"/>
          <w:numId w:val="24"/>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General Assessment Comments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5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include a summary of the key points of this evaluation. </w:t>
            </w:r>
          </w:p>
          <w:p>
            <w:pPr>
              <w:pStyle w:val="Body"/>
              <w:bidi w:val="0"/>
              <w:spacing w:after="0"/>
              <w:ind w:left="0" w:right="0" w:firstLine="0"/>
              <w:jc w:val="left"/>
              <w:rPr>
                <w:i w:val="1"/>
                <w:iCs w:val="1"/>
                <w:sz w:val="24"/>
                <w:szCs w:val="24"/>
                <w:rtl w:val="0"/>
              </w:rPr>
            </w:pPr>
            <w:r>
              <w:rPr>
                <w:i w:val="1"/>
                <w:iCs w:val="1"/>
                <w:sz w:val="24"/>
                <w:szCs w:val="24"/>
                <w:rtl w:val="0"/>
                <w:lang w:val="en-US"/>
              </w:rPr>
              <w:t xml:space="preserve">Problems identified or specific risks to the projects. As well recommendations/feedback, which could be relevant to the Consortium. </w:t>
            </w: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pPr>
            <w:r>
              <w:rPr>
                <w:i w:val="1"/>
                <w:iCs w:val="1"/>
                <w:sz w:val="24"/>
                <w:szCs w:val="24"/>
                <w:lang w:val="en-US"/>
              </w:rPr>
            </w:r>
          </w:p>
        </w:tc>
      </w:tr>
    </w:tbl>
    <w:p>
      <w:pPr>
        <w:pStyle w:val="Body"/>
        <w:widowControl w:val="0"/>
        <w:spacing w:after="0"/>
        <w:jc w:val="center"/>
      </w:pPr>
      <w:r>
        <w:rPr>
          <w:lang w:val="en-US"/>
        </w:rPr>
      </w:r>
    </w:p>
    <w:sectPr>
      <w:headerReference w:type="default" r:id="rId4"/>
      <w:footerReference w:type="default" r:id="rId5"/>
      <w:pgSz w:w="11900" w:h="16840" w:orient="portrait"/>
      <w:pgMar w:top="720" w:right="720" w:bottom="720" w:left="720" w:header="708" w:footer="283"/>
      <w:pgNumType w:start="4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lang w:val="en-US"/>
      </w:rPr>
    </w:pPr>
  </w:p>
  <w:p>
    <w:pPr>
      <w:pStyle w:val="footer"/>
      <w:jc w:val="right"/>
    </w:pPr>
    <w:r>
      <w:rPr/>
      <w:fldChar w:fldCharType="begin" w:fldLock="0"/>
    </w:r>
    <w:r>
      <w:instrText xml:space="preserve"> PAGE </w:instrText>
    </w:r>
    <w:r>
      <w:rPr/>
      <w:fldChar w:fldCharType="separate" w:fldLock="0"/>
    </w:r>
    <w:r>
      <w:t>60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5962650</wp:posOffset>
          </wp:positionH>
          <wp:positionV relativeFrom="page">
            <wp:posOffset>120650</wp:posOffset>
          </wp:positionV>
          <wp:extent cx="953422" cy="473554"/>
          <wp:effectExtent l="0" t="0" r="0" b="0"/>
          <wp:wrapNone/>
          <wp:docPr id="1073741825" name="officeArt object" descr="C:\Users\coulet\AppData\Local\Microsoft\Windows\INetCache\Content.Word\logo waterworks2017.jpg"/>
          <wp:cNvGraphicFramePr/>
          <a:graphic xmlns:a="http://schemas.openxmlformats.org/drawingml/2006/main">
            <a:graphicData uri="http://schemas.openxmlformats.org/drawingml/2006/picture">
              <pic:pic xmlns:pic="http://schemas.openxmlformats.org/drawingml/2006/picture">
                <pic:nvPicPr>
                  <pic:cNvPr id="1073741825" name="C:\Users\coulet\AppData\Local\Microsoft\Windows\INetCache\Content.Word\logo waterworks2017.jpg" descr="C:\Users\coulet\AppData\Local\Microsoft\Windows\INetCache\Content.Word\logo waterworks2017.jpg"/>
                  <pic:cNvPicPr>
                    <a:picLocks noChangeAspect="1"/>
                  </pic:cNvPicPr>
                </pic:nvPicPr>
                <pic:blipFill>
                  <a:blip r:embed="rId1">
                    <a:extLst/>
                  </a:blip>
                  <a:stretch>
                    <a:fillRect/>
                  </a:stretch>
                </pic:blipFill>
                <pic:spPr>
                  <a:xfrm>
                    <a:off x="0" y="0"/>
                    <a:ext cx="953422" cy="47355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314959</wp:posOffset>
              </wp:positionH>
              <wp:positionV relativeFrom="page">
                <wp:posOffset>10547984</wp:posOffset>
              </wp:positionV>
              <wp:extent cx="5245100" cy="25971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245100" cy="259716"/>
                      </a:xfrm>
                      <a:prstGeom prst="rect">
                        <a:avLst/>
                      </a:prstGeom>
                      <a:solidFill>
                        <a:srgbClr val="FFFFFF"/>
                      </a:solidFill>
                      <a:ln w="12700" cap="flat">
                        <a:noFill/>
                        <a:miter lim="400000"/>
                      </a:ln>
                      <a:effectLst/>
                    </wps:spPr>
                    <wps:txbx>
                      <w:txbxContent>
                        <w:p>
                          <w:pPr>
                            <w:pStyle w:val="Body"/>
                          </w:pPr>
                          <w:r>
                            <w:rPr>
                              <w:color w:val="4f81bd"/>
                              <w:u w:color="4f81bd"/>
                              <w:rtl w:val="0"/>
                              <w:lang w:val="en-US"/>
                            </w:rPr>
                            <w:t>Annex 5: Templates for Mid-Term Evaluation Report (Individual and Consensus)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4.8pt;margin-top:830.5pt;width:413.0pt;height:2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4f81bd"/>
                        <w:u w:color="4f81bd"/>
                        <w:rtl w:val="0"/>
                        <w:lang w:val="en-US"/>
                      </w:rPr>
                      <w:t>Annex 5: Templates for Mid-Term Evaluation Report (Individual and Consensus)</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2"/>
    </w:lvlOverride>
  </w:num>
  <w:num w:numId="5">
    <w:abstractNumId w:val="3"/>
  </w:num>
  <w:num w:numId="6">
    <w:abstractNumId w:val="0"/>
    <w:lvlOverride w:ilvl="0">
      <w:startOverride w:val="3"/>
    </w:lvlOverride>
  </w:num>
  <w:num w:numId="7">
    <w:abstractNumId w:val="4"/>
  </w:num>
  <w:num w:numId="8">
    <w:abstractNumId w:val="0"/>
    <w:lvlOverride w:ilvl="0">
      <w:startOverride w:val="4"/>
    </w:lvlOverride>
  </w:num>
  <w:num w:numId="9">
    <w:abstractNumId w:val="5"/>
  </w:num>
  <w:num w:numId="10">
    <w:abstractNumId w:val="0"/>
    <w:lvlOverride w:ilvl="0">
      <w:startOverride w:val="5"/>
      <w:lvl w:ilvl="0">
        <w:start w:val="5"/>
        <w:numFmt w:val="decimal"/>
        <w:suff w:val="tab"/>
        <w:lvlText w:val="%1."/>
        <w:lvlJc w:val="left"/>
        <w:pPr>
          <w:ind w:left="42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0"/>
    <w:lvlOverride w:ilvl="0">
      <w:startOverride w:val="6"/>
    </w:lvlOverride>
  </w:num>
  <w:num w:numId="12">
    <w:abstractNumId w:val="0"/>
    <w:lvlOverride w:ilvl="0">
      <w:startOverride w:val="7"/>
      <w:lvl w:ilvl="0">
        <w:start w:val="7"/>
        <w:numFmt w:val="decimal"/>
        <w:suff w:val="tab"/>
        <w:lvlText w:val="%1."/>
        <w:lvlJc w:val="left"/>
        <w:pPr>
          <w:ind w:left="42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7"/>
  </w:num>
  <w:num w:numId="14">
    <w:abstractNumId w:val="6"/>
  </w:num>
  <w:num w:numId="15">
    <w:abstractNumId w:val="8"/>
  </w:num>
  <w:num w:numId="16">
    <w:abstractNumId w:val="6"/>
    <w:lvlOverride w:ilvl="0">
      <w:startOverride w:val="2"/>
    </w:lvlOverride>
  </w:num>
  <w:num w:numId="17">
    <w:abstractNumId w:val="9"/>
  </w:num>
  <w:num w:numId="18">
    <w:abstractNumId w:val="6"/>
    <w:lvlOverride w:ilvl="0">
      <w:startOverride w:val="3"/>
    </w:lvlOverride>
  </w:num>
  <w:num w:numId="19">
    <w:abstractNumId w:val="10"/>
  </w:num>
  <w:num w:numId="20">
    <w:abstractNumId w:val="6"/>
    <w:lvlOverride w:ilvl="0">
      <w:startOverride w:val="4"/>
    </w:lvlOverride>
  </w:num>
  <w:num w:numId="21">
    <w:abstractNumId w:val="11"/>
  </w:num>
  <w:num w:numId="22">
    <w:abstractNumId w:val="6"/>
    <w:lvlOverride w:ilvl="0">
      <w:startOverride w:val="5"/>
      <w:lvl w:ilvl="0">
        <w:start w:val="5"/>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 w:numId="23">
    <w:abstractNumId w:val="6"/>
    <w:lvlOverride w:ilvl="0">
      <w:startOverride w:val="6"/>
    </w:lvlOverride>
  </w:num>
  <w:num w:numId="24">
    <w:abstractNumId w:val="6"/>
    <w:lvlOverride w:ilvl="0">
      <w:startOverride w:val="7"/>
      <w:lvl w:ilvl="0">
        <w:start w:val="7"/>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 Eco Inno">
    <w:name w:val="Text Eco Inno"/>
    <w:next w:val="Text Eco Inno"/>
    <w:pPr>
      <w:keepNext w:val="0"/>
      <w:keepLines w:val="0"/>
      <w:pageBreakBefore w:val="0"/>
      <w:widowControl w:val="1"/>
      <w:shd w:val="clear" w:color="auto" w:fill="auto"/>
      <w:tabs>
        <w:tab w:val="left" w:pos="284"/>
      </w:tabs>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0" w:right="0" w:firstLine="0"/>
      <w:jc w:val="center"/>
      <w:outlineLvl w:val="2"/>
    </w:pPr>
    <w:rPr>
      <w:rFonts w:ascii="Cambria" w:cs="Cambria" w:hAnsi="Cambria" w:eastAsia="Cambria"/>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