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de-CH" w:eastAsia="de-CH"/>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AC28420"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" fillcolor="white [3201]" stroked="f" strokeweight=".5pt">
                <v:textbox>
                  <w:txbxContent>
                    <w:p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de-CH" w:eastAsia="de-CH"/>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7F800C7"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" o:allowincell="f">
                <v:group id="Group 194"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4"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5"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&#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" filled="f" stroked="f">
                  <v:textbox>
                    <w:txbxContent>
                      <w:p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rsidR="005C1625" w:rsidRPr="00722C4A" w:rsidRDefault="005C1625" w:rsidP="005C1625">
                        <w:pPr>
                          <w:pStyle w:val="Default"/>
                          <w:rPr>
                            <w:b/>
                            <w:bCs/>
                            <w:color w:val="404040"/>
                            <w:sz w:val="48"/>
                            <w:szCs w:val="32"/>
                            <w:lang w:val="en-US"/>
                          </w:rPr>
                        </w:pPr>
                      </w:p>
                      <w:p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4DE50F48" w14:textId="77777777" w:rsidR="000101DD" w:rsidRPr="002B6F86" w:rsidRDefault="000101DD" w:rsidP="000101DD">
      <w:pPr>
        <w:spacing w:after="200" w:line="276" w:lineRule="auto"/>
        <w:rPr>
          <w:sz w:val="24"/>
          <w:szCs w:val="28"/>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7D3A40F3" w:rsidR="000101DD" w:rsidRPr="002B6F86" w:rsidRDefault="000101DD" w:rsidP="000101DD">
      <w:pPr>
        <w:spacing w:after="0"/>
        <w:rPr>
          <w:sz w:val="24"/>
          <w:lang w:val="en-GB"/>
        </w:rPr>
      </w:pPr>
      <w:r w:rsidRPr="002B6F86">
        <w:rPr>
          <w:sz w:val="24"/>
          <w:lang w:val="en-GB"/>
        </w:rPr>
        <w:t>Name of Coordinator:</w:t>
      </w:r>
      <w:r w:rsidR="009415F5">
        <w:rPr>
          <w:sz w:val="24"/>
          <w:lang w:val="en-GB"/>
        </w:rPr>
        <w:tab/>
        <w:t>Nandita Singh</w:t>
      </w:r>
      <w:r w:rsidRPr="002B6F86">
        <w:rPr>
          <w:sz w:val="24"/>
          <w:lang w:val="en-GB"/>
        </w:rPr>
        <w:tab/>
      </w:r>
    </w:p>
    <w:p w14:paraId="7019A1F4" w14:textId="60753F78"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009415F5">
        <w:rPr>
          <w:sz w:val="24"/>
          <w:lang w:val="en-US"/>
        </w:rPr>
        <w:t>NATWIP</w:t>
      </w:r>
      <w:r w:rsidRPr="002B6F86">
        <w:rPr>
          <w:sz w:val="24"/>
          <w:lang w:val="en-US"/>
        </w:rPr>
        <w:t xml:space="preserve"> </w:t>
      </w:r>
    </w:p>
    <w:p w14:paraId="2266FE13" w14:textId="179ECADE" w:rsidR="000101DD" w:rsidRPr="002B6F86" w:rsidRDefault="000101DD" w:rsidP="000101DD">
      <w:pPr>
        <w:spacing w:after="0"/>
        <w:rPr>
          <w:sz w:val="24"/>
          <w:lang w:val="en-GB"/>
        </w:rPr>
      </w:pPr>
      <w:r w:rsidRPr="002B6F86">
        <w:rPr>
          <w:sz w:val="24"/>
          <w:lang w:val="en-GB"/>
        </w:rPr>
        <w:t xml:space="preserve">Duration of project: </w:t>
      </w:r>
      <w:r w:rsidR="009415F5">
        <w:rPr>
          <w:sz w:val="24"/>
          <w:lang w:val="en-GB"/>
        </w:rPr>
        <w:tab/>
        <w:t>39</w:t>
      </w:r>
      <w:r w:rsidR="00303656">
        <w:rPr>
          <w:sz w:val="24"/>
          <w:lang w:val="en-GB"/>
        </w:rPr>
        <w:t xml:space="preserve"> months</w:t>
      </w:r>
    </w:p>
    <w:p w14:paraId="642DD479" w14:textId="5D6E31A4"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00303656">
        <w:rPr>
          <w:sz w:val="24"/>
          <w:lang w:val="en-GB"/>
        </w:rPr>
        <w:t>1</w:t>
      </w:r>
      <w:r w:rsidR="00303656" w:rsidRPr="00303656">
        <w:rPr>
          <w:sz w:val="24"/>
          <w:lang w:val="en-GB"/>
        </w:rPr>
        <w:t xml:space="preserve"> April 2019</w:t>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sidR="00303656">
        <w:rPr>
          <w:b/>
          <w:sz w:val="24"/>
          <w:lang w:val="en-GB"/>
        </w:rPr>
        <w:tab/>
      </w:r>
      <w:r w:rsidR="00303656" w:rsidRPr="00303656">
        <w:rPr>
          <w:sz w:val="24"/>
          <w:lang w:val="en-GB"/>
        </w:rPr>
        <w:t xml:space="preserve">30 </w:t>
      </w:r>
      <w:r w:rsidR="009415F5">
        <w:rPr>
          <w:sz w:val="24"/>
          <w:lang w:val="en-GB"/>
        </w:rPr>
        <w:t xml:space="preserve">June </w:t>
      </w:r>
      <w:r w:rsidR="00303656" w:rsidRPr="00303656">
        <w:rPr>
          <w:sz w:val="24"/>
          <w:lang w:val="en-GB"/>
        </w:rPr>
        <w:t>2022</w:t>
      </w:r>
    </w:p>
    <w:p w14:paraId="4D3D214A" w14:textId="77777777" w:rsidR="000101DD" w:rsidRPr="002B6F86" w:rsidRDefault="000101DD" w:rsidP="000101DD">
      <w:pPr>
        <w:spacing w:after="0"/>
        <w:rPr>
          <w:lang w:val="en-US"/>
        </w:rPr>
      </w:pPr>
    </w:p>
    <w:p w14:paraId="3D32ECF9" w14:textId="77777777" w:rsidR="000101DD" w:rsidRPr="002B6F86" w:rsidRDefault="000101DD" w:rsidP="000101DD">
      <w:pPr>
        <w:tabs>
          <w:tab w:val="left" w:pos="5505"/>
        </w:tabs>
        <w:spacing w:after="0"/>
        <w:rPr>
          <w:lang w:val="en-US"/>
        </w:rPr>
      </w:pPr>
      <w:r w:rsidRPr="002B6F86">
        <w:rPr>
          <w:lang w:val="en-US"/>
        </w:rPr>
        <w:tab/>
      </w:r>
    </w:p>
    <w:p w14:paraId="65B9E52C" w14:textId="77777777" w:rsidR="000101DD" w:rsidRPr="002B6F86" w:rsidRDefault="000101DD" w:rsidP="000101DD">
      <w:pPr>
        <w:spacing w:after="0"/>
        <w:rPr>
          <w:lang w:val="en-GB"/>
        </w:rPr>
      </w:pP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0893320F" w:rsidR="000101DD" w:rsidRPr="002B6F86" w:rsidRDefault="000101DD" w:rsidP="000101DD">
      <w:pPr>
        <w:spacing w:after="0"/>
        <w:rPr>
          <w:sz w:val="24"/>
          <w:lang w:val="en-GB"/>
        </w:rPr>
      </w:pPr>
      <w:r w:rsidRPr="002B6F86">
        <w:rPr>
          <w:sz w:val="24"/>
          <w:lang w:val="en-GB"/>
        </w:rPr>
        <w:t>Name:</w:t>
      </w:r>
      <w:r w:rsidR="00303656">
        <w:rPr>
          <w:sz w:val="24"/>
          <w:lang w:val="en-GB"/>
        </w:rPr>
        <w:tab/>
      </w:r>
      <w:r w:rsidR="00303656">
        <w:rPr>
          <w:sz w:val="24"/>
          <w:lang w:val="en-GB"/>
        </w:rPr>
        <w:tab/>
      </w:r>
      <w:r w:rsidR="00303656">
        <w:rPr>
          <w:sz w:val="24"/>
          <w:lang w:val="en-GB"/>
        </w:rPr>
        <w:tab/>
        <w:t>Mario Schirmer</w:t>
      </w:r>
    </w:p>
    <w:p w14:paraId="25400DC5" w14:textId="51E570E3" w:rsidR="000101DD" w:rsidRPr="002B6F86" w:rsidRDefault="000101DD" w:rsidP="000101DD">
      <w:pPr>
        <w:spacing w:after="0"/>
        <w:rPr>
          <w:sz w:val="24"/>
          <w:lang w:val="en-GB"/>
        </w:rPr>
      </w:pPr>
      <w:r w:rsidRPr="002B6F86">
        <w:rPr>
          <w:sz w:val="24"/>
          <w:lang w:val="en-GB"/>
        </w:rPr>
        <w:t>Organisation:</w:t>
      </w:r>
      <w:r w:rsidRPr="002B6F86">
        <w:rPr>
          <w:sz w:val="24"/>
          <w:lang w:val="en-GB"/>
        </w:rPr>
        <w:tab/>
      </w:r>
      <w:r w:rsidR="00303656">
        <w:rPr>
          <w:sz w:val="24"/>
          <w:lang w:val="en-GB"/>
        </w:rPr>
        <w:tab/>
        <w:t>Eawag, Swiss Federal Institute of Aquatic Science and Technology (CH)</w:t>
      </w:r>
    </w:p>
    <w:p w14:paraId="255D035A" w14:textId="336C18FB" w:rsidR="000101DD" w:rsidRPr="002B6F86" w:rsidRDefault="000101DD" w:rsidP="000101DD">
      <w:pPr>
        <w:spacing w:after="0"/>
        <w:rPr>
          <w:sz w:val="24"/>
          <w:lang w:val="en-GB"/>
        </w:rPr>
      </w:pPr>
      <w:r w:rsidRPr="002B6F86">
        <w:rPr>
          <w:sz w:val="24"/>
          <w:lang w:val="en-GB"/>
        </w:rPr>
        <w:t>Date of review:</w:t>
      </w:r>
      <w:r w:rsidR="00303656">
        <w:rPr>
          <w:sz w:val="24"/>
          <w:lang w:val="en-GB"/>
        </w:rPr>
        <w:tab/>
        <w:t>19 April 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
      <w:bookmarkEnd w:id="2"/>
      <w:bookmarkEnd w:id="3"/>
      <w:bookmarkEnd w:id="4"/>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5C6052C4" w14:textId="77777777" w:rsidTr="00FE593D">
        <w:trPr>
          <w:jc w:val="center"/>
        </w:trPr>
        <w:tc>
          <w:tcPr>
            <w:tcW w:w="9778" w:type="dxa"/>
          </w:tcPr>
          <w:p w14:paraId="1956D698" w14:textId="27A664BC" w:rsidR="00AE1ED9" w:rsidRDefault="00AE1ED9" w:rsidP="00AE1ED9">
            <w:pPr>
              <w:spacing w:after="0" w:line="276" w:lineRule="auto"/>
              <w:rPr>
                <w:sz w:val="24"/>
                <w:szCs w:val="24"/>
                <w:lang w:val="en-US"/>
              </w:rPr>
            </w:pPr>
            <w:r>
              <w:rPr>
                <w:sz w:val="24"/>
                <w:szCs w:val="24"/>
                <w:lang w:val="en-US"/>
              </w:rPr>
              <w:t xml:space="preserve">Due to failure of funding of the Polish partner, an important player had to leave the consortium. Furthermore, </w:t>
            </w:r>
            <w:r w:rsidR="002B3B31">
              <w:rPr>
                <w:sz w:val="24"/>
                <w:szCs w:val="24"/>
                <w:lang w:val="en-US"/>
              </w:rPr>
              <w:t>th</w:t>
            </w:r>
            <w:r w:rsidRPr="00AE1ED9">
              <w:rPr>
                <w:sz w:val="24"/>
                <w:szCs w:val="24"/>
                <w:lang w:val="en-US"/>
              </w:rPr>
              <w:t>e</w:t>
            </w:r>
            <w:r>
              <w:rPr>
                <w:sz w:val="24"/>
                <w:szCs w:val="24"/>
                <w:lang w:val="en-US"/>
              </w:rPr>
              <w:t xml:space="preserve"> </w:t>
            </w:r>
            <w:r w:rsidRPr="00AE1ED9">
              <w:rPr>
                <w:sz w:val="24"/>
                <w:szCs w:val="24"/>
                <w:lang w:val="en-US"/>
              </w:rPr>
              <w:t>Norwegian, Spanish and South African partners had to wait for clearing of their funds. Besides</w:t>
            </w:r>
            <w:r>
              <w:rPr>
                <w:sz w:val="24"/>
                <w:szCs w:val="24"/>
                <w:lang w:val="en-US"/>
              </w:rPr>
              <w:t xml:space="preserve"> the </w:t>
            </w:r>
            <w:r w:rsidRPr="00AE1ED9">
              <w:rPr>
                <w:sz w:val="24"/>
                <w:szCs w:val="24"/>
                <w:lang w:val="en-US"/>
              </w:rPr>
              <w:t xml:space="preserve">delay, </w:t>
            </w:r>
            <w:r>
              <w:rPr>
                <w:sz w:val="24"/>
                <w:szCs w:val="24"/>
                <w:lang w:val="en-US"/>
              </w:rPr>
              <w:t xml:space="preserve">the </w:t>
            </w:r>
            <w:r w:rsidRPr="00AE1ED9">
              <w:rPr>
                <w:sz w:val="24"/>
                <w:szCs w:val="24"/>
                <w:lang w:val="en-US"/>
              </w:rPr>
              <w:t>S</w:t>
            </w:r>
            <w:r>
              <w:rPr>
                <w:sz w:val="24"/>
                <w:szCs w:val="24"/>
                <w:lang w:val="en-US"/>
              </w:rPr>
              <w:t>outh</w:t>
            </w:r>
            <w:r w:rsidRPr="00AE1ED9">
              <w:rPr>
                <w:sz w:val="24"/>
                <w:szCs w:val="24"/>
                <w:lang w:val="en-US"/>
              </w:rPr>
              <w:t xml:space="preserve"> African funds came to be downsized, which meant a downward revision of their project</w:t>
            </w:r>
            <w:r>
              <w:rPr>
                <w:sz w:val="24"/>
                <w:szCs w:val="24"/>
                <w:lang w:val="en-US"/>
              </w:rPr>
              <w:t xml:space="preserve"> part. </w:t>
            </w:r>
            <w:r w:rsidRPr="00AE1ED9">
              <w:rPr>
                <w:sz w:val="24"/>
                <w:szCs w:val="24"/>
                <w:lang w:val="en-US"/>
              </w:rPr>
              <w:t xml:space="preserve">Despite the delays </w:t>
            </w:r>
            <w:r>
              <w:rPr>
                <w:sz w:val="24"/>
                <w:szCs w:val="24"/>
                <w:lang w:val="en-US"/>
              </w:rPr>
              <w:t xml:space="preserve">and shortening of the funding, during </w:t>
            </w:r>
            <w:r w:rsidRPr="00AE1ED9">
              <w:rPr>
                <w:sz w:val="24"/>
                <w:szCs w:val="24"/>
                <w:lang w:val="en-US"/>
              </w:rPr>
              <w:t xml:space="preserve">project initiation, a substantially good progress has been </w:t>
            </w:r>
            <w:r>
              <w:rPr>
                <w:sz w:val="24"/>
                <w:szCs w:val="24"/>
                <w:lang w:val="en-US"/>
              </w:rPr>
              <w:t>ma</w:t>
            </w:r>
            <w:r w:rsidRPr="00AE1ED9">
              <w:rPr>
                <w:sz w:val="24"/>
                <w:szCs w:val="24"/>
                <w:lang w:val="en-US"/>
              </w:rPr>
              <w:t>d</w:t>
            </w:r>
            <w:r>
              <w:rPr>
                <w:sz w:val="24"/>
                <w:szCs w:val="24"/>
                <w:lang w:val="en-US"/>
              </w:rPr>
              <w:t>e in NATWIP</w:t>
            </w:r>
            <w:r w:rsidRPr="00AE1ED9">
              <w:rPr>
                <w:sz w:val="24"/>
                <w:szCs w:val="24"/>
                <w:lang w:val="en-US"/>
              </w:rPr>
              <w:t xml:space="preserve"> during the first 18 months. Work in the first two WP are next to</w:t>
            </w:r>
            <w:r>
              <w:rPr>
                <w:sz w:val="24"/>
                <w:szCs w:val="24"/>
                <w:lang w:val="en-US"/>
              </w:rPr>
              <w:t xml:space="preserve"> </w:t>
            </w:r>
            <w:r w:rsidRPr="00AE1ED9">
              <w:rPr>
                <w:sz w:val="24"/>
                <w:szCs w:val="24"/>
                <w:lang w:val="en-US"/>
              </w:rPr>
              <w:t xml:space="preserve">complete, with the result that the first two project objectives are almost achieved. </w:t>
            </w:r>
            <w:r>
              <w:rPr>
                <w:sz w:val="24"/>
                <w:szCs w:val="24"/>
                <w:lang w:val="en-US"/>
              </w:rPr>
              <w:t>T</w:t>
            </w:r>
            <w:r w:rsidRPr="00AE1ED9">
              <w:rPr>
                <w:sz w:val="24"/>
                <w:szCs w:val="24"/>
                <w:lang w:val="en-US"/>
              </w:rPr>
              <w:t>he</w:t>
            </w:r>
            <w:r>
              <w:rPr>
                <w:sz w:val="24"/>
                <w:szCs w:val="24"/>
                <w:lang w:val="en-US"/>
              </w:rPr>
              <w:t xml:space="preserve"> </w:t>
            </w:r>
            <w:r w:rsidRPr="00AE1ED9">
              <w:rPr>
                <w:sz w:val="24"/>
                <w:szCs w:val="24"/>
                <w:lang w:val="en-US"/>
              </w:rPr>
              <w:t xml:space="preserve">progress in the first two WPs has been </w:t>
            </w:r>
            <w:r>
              <w:rPr>
                <w:sz w:val="24"/>
                <w:szCs w:val="24"/>
                <w:lang w:val="en-US"/>
              </w:rPr>
              <w:t xml:space="preserve">even </w:t>
            </w:r>
            <w:r w:rsidRPr="00AE1ED9">
              <w:rPr>
                <w:sz w:val="24"/>
                <w:szCs w:val="24"/>
                <w:lang w:val="en-US"/>
              </w:rPr>
              <w:t>faster than originally foreseen.</w:t>
            </w:r>
          </w:p>
          <w:p w14:paraId="59458DDE" w14:textId="4A5C8F16" w:rsidR="00AE1ED9" w:rsidRPr="00AE1ED9" w:rsidRDefault="002B3B31" w:rsidP="00A73B79">
            <w:pPr>
              <w:spacing w:after="0" w:line="276" w:lineRule="auto"/>
              <w:rPr>
                <w:sz w:val="24"/>
                <w:szCs w:val="24"/>
                <w:lang w:val="en-US"/>
              </w:rPr>
            </w:pPr>
            <w:r>
              <w:rPr>
                <w:sz w:val="24"/>
                <w:szCs w:val="24"/>
                <w:lang w:val="en-US"/>
              </w:rPr>
              <w:t>As important art of this project phase, i</w:t>
            </w:r>
            <w:r w:rsidR="00AE1ED9" w:rsidRPr="00AE1ED9">
              <w:rPr>
                <w:sz w:val="24"/>
                <w:szCs w:val="24"/>
                <w:lang w:val="en-US"/>
              </w:rPr>
              <w:t>n-depth interviews with key experts involved in NBS in the different project</w:t>
            </w:r>
            <w:r>
              <w:rPr>
                <w:sz w:val="24"/>
                <w:szCs w:val="24"/>
                <w:lang w:val="en-US"/>
              </w:rPr>
              <w:t xml:space="preserve"> </w:t>
            </w:r>
            <w:r w:rsidR="00AE1ED9" w:rsidRPr="00AE1ED9">
              <w:rPr>
                <w:sz w:val="24"/>
                <w:szCs w:val="24"/>
                <w:lang w:val="en-US"/>
              </w:rPr>
              <w:t xml:space="preserve">countries </w:t>
            </w:r>
            <w:r>
              <w:rPr>
                <w:sz w:val="24"/>
                <w:szCs w:val="24"/>
                <w:lang w:val="en-US"/>
              </w:rPr>
              <w:t>had to be</w:t>
            </w:r>
            <w:r w:rsidR="00AE1ED9" w:rsidRPr="00AE1ED9">
              <w:rPr>
                <w:sz w:val="24"/>
                <w:szCs w:val="24"/>
                <w:lang w:val="en-US"/>
              </w:rPr>
              <w:t xml:space="preserve"> conducted, as input from all the consortium partners. An ‘interview guide’ was</w:t>
            </w:r>
            <w:r>
              <w:rPr>
                <w:sz w:val="24"/>
                <w:szCs w:val="24"/>
                <w:lang w:val="en-US"/>
              </w:rPr>
              <w:t xml:space="preserve"> </w:t>
            </w:r>
            <w:r w:rsidR="00AE1ED9" w:rsidRPr="00AE1ED9">
              <w:rPr>
                <w:sz w:val="24"/>
                <w:szCs w:val="24"/>
                <w:lang w:val="en-US"/>
              </w:rPr>
              <w:t>prepared by the Spanish partner for this purpose. Thereafter each</w:t>
            </w:r>
            <w:r>
              <w:rPr>
                <w:sz w:val="24"/>
                <w:szCs w:val="24"/>
                <w:lang w:val="en-US"/>
              </w:rPr>
              <w:t xml:space="preserve"> </w:t>
            </w:r>
            <w:r w:rsidR="00AE1ED9" w:rsidRPr="00AE1ED9">
              <w:rPr>
                <w:sz w:val="24"/>
                <w:szCs w:val="24"/>
                <w:lang w:val="en-US"/>
              </w:rPr>
              <w:t>partner identified relevant</w:t>
            </w:r>
            <w:r>
              <w:rPr>
                <w:sz w:val="24"/>
                <w:szCs w:val="24"/>
                <w:lang w:val="en-US"/>
              </w:rPr>
              <w:t xml:space="preserve"> </w:t>
            </w:r>
            <w:r w:rsidR="00AE1ED9" w:rsidRPr="00AE1ED9">
              <w:rPr>
                <w:sz w:val="24"/>
                <w:szCs w:val="24"/>
                <w:lang w:val="en-US"/>
              </w:rPr>
              <w:t>experts in their own countries and conducted the interviews. Due to C</w:t>
            </w:r>
            <w:r w:rsidR="00A73B79">
              <w:rPr>
                <w:sz w:val="24"/>
                <w:szCs w:val="24"/>
                <w:lang w:val="en-US"/>
              </w:rPr>
              <w:t>OVID</w:t>
            </w:r>
            <w:r w:rsidR="00AE1ED9" w:rsidRPr="00AE1ED9">
              <w:rPr>
                <w:sz w:val="24"/>
                <w:szCs w:val="24"/>
                <w:lang w:val="en-US"/>
              </w:rPr>
              <w:t>-19 situation,</w:t>
            </w:r>
            <w:r>
              <w:rPr>
                <w:sz w:val="24"/>
                <w:szCs w:val="24"/>
                <w:lang w:val="en-US"/>
              </w:rPr>
              <w:t xml:space="preserve"> </w:t>
            </w:r>
            <w:r w:rsidR="00AE1ED9" w:rsidRPr="00AE1ED9">
              <w:rPr>
                <w:sz w:val="24"/>
                <w:szCs w:val="24"/>
                <w:lang w:val="en-US"/>
              </w:rPr>
              <w:t>completion of the in-depth interviews was somewhat delayed. Transcripts of all the interviews</w:t>
            </w:r>
            <w:r>
              <w:rPr>
                <w:sz w:val="24"/>
                <w:szCs w:val="24"/>
                <w:lang w:val="en-US"/>
              </w:rPr>
              <w:t xml:space="preserve"> </w:t>
            </w:r>
            <w:r w:rsidR="00AE1ED9" w:rsidRPr="00AE1ED9">
              <w:rPr>
                <w:sz w:val="24"/>
                <w:szCs w:val="24"/>
                <w:lang w:val="en-US"/>
              </w:rPr>
              <w:t>are available. The development of narratives derived from</w:t>
            </w:r>
            <w:r>
              <w:rPr>
                <w:sz w:val="24"/>
                <w:szCs w:val="24"/>
                <w:lang w:val="en-US"/>
              </w:rPr>
              <w:t xml:space="preserve"> </w:t>
            </w:r>
            <w:r w:rsidR="00AE1ED9" w:rsidRPr="00AE1ED9">
              <w:rPr>
                <w:sz w:val="24"/>
                <w:szCs w:val="24"/>
                <w:lang w:val="en-US"/>
              </w:rPr>
              <w:t>the expert interviews is foreseen as a complementary research paper.</w:t>
            </w:r>
            <w:r>
              <w:rPr>
                <w:sz w:val="24"/>
                <w:szCs w:val="24"/>
                <w:lang w:val="en-US"/>
              </w:rPr>
              <w:t xml:space="preserve"> In summary, NATWIP is progressing very well.</w:t>
            </w: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5" w:name="_Toc456078772"/>
      <w:bookmarkStart w:id="6" w:name="_Toc456087227"/>
      <w:bookmarkStart w:id="7" w:name="_Toc500093060"/>
      <w:bookmarkStart w:id="8"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5"/>
      <w:bookmarkEnd w:id="6"/>
      <w:bookmarkEnd w:id="7"/>
      <w:bookmarkEnd w:id="8"/>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52C6E957" w14:textId="3A6049F8" w:rsidR="002B3B31" w:rsidRPr="002B3B31" w:rsidRDefault="002B3B31" w:rsidP="002B3B31">
            <w:pPr>
              <w:spacing w:after="0" w:line="276" w:lineRule="auto"/>
              <w:rPr>
                <w:rFonts w:eastAsia="Times New Roman" w:cs="Calibri"/>
                <w:sz w:val="24"/>
                <w:szCs w:val="28"/>
                <w:lang w:val="en-GB" w:eastAsia="it-IT"/>
              </w:rPr>
            </w:pPr>
            <w:r>
              <w:rPr>
                <w:rFonts w:eastAsia="Times New Roman" w:cs="Calibri"/>
                <w:sz w:val="24"/>
                <w:szCs w:val="28"/>
                <w:lang w:val="en-GB" w:eastAsia="it-IT"/>
              </w:rPr>
              <w:t>Due to the loss of the Polish project partner, the project had some difficulties in the beginning but this was solved in an excellent way. A</w:t>
            </w:r>
            <w:r w:rsidRPr="002B3B31">
              <w:rPr>
                <w:rFonts w:eastAsia="Times New Roman" w:cs="Calibri"/>
                <w:sz w:val="24"/>
                <w:szCs w:val="28"/>
                <w:lang w:val="en-GB" w:eastAsia="it-IT"/>
              </w:rPr>
              <w:t>nother institution from Brazil as an associate partner</w:t>
            </w:r>
            <w:r>
              <w:rPr>
                <w:rFonts w:eastAsia="Times New Roman" w:cs="Calibri"/>
                <w:sz w:val="24"/>
                <w:szCs w:val="28"/>
                <w:lang w:val="en-GB" w:eastAsia="it-IT"/>
              </w:rPr>
              <w:t xml:space="preserve">, </w:t>
            </w:r>
            <w:r w:rsidRPr="002B3B31">
              <w:rPr>
                <w:rFonts w:eastAsia="Times New Roman" w:cs="Calibri"/>
                <w:sz w:val="24"/>
                <w:szCs w:val="28"/>
                <w:lang w:val="en-GB" w:eastAsia="it-IT"/>
              </w:rPr>
              <w:t>the International</w:t>
            </w:r>
            <w:r>
              <w:rPr>
                <w:rFonts w:eastAsia="Times New Roman" w:cs="Calibri"/>
                <w:sz w:val="24"/>
                <w:szCs w:val="28"/>
                <w:lang w:val="en-GB" w:eastAsia="it-IT"/>
              </w:rPr>
              <w:t xml:space="preserve"> </w:t>
            </w:r>
            <w:r w:rsidRPr="002B3B31">
              <w:rPr>
                <w:rFonts w:eastAsia="Times New Roman" w:cs="Calibri"/>
                <w:sz w:val="24"/>
                <w:szCs w:val="28"/>
                <w:lang w:val="en-GB" w:eastAsia="it-IT"/>
              </w:rPr>
              <w:t>Institute for Sustainability (IIS-Rio), Rio de Janeiro, Brazil</w:t>
            </w:r>
            <w:r>
              <w:rPr>
                <w:rFonts w:eastAsia="Times New Roman" w:cs="Calibri"/>
                <w:sz w:val="24"/>
                <w:szCs w:val="28"/>
                <w:lang w:val="en-GB" w:eastAsia="it-IT"/>
              </w:rPr>
              <w:t xml:space="preserve"> was taken on board. </w:t>
            </w:r>
            <w:r w:rsidRPr="002B3B31">
              <w:rPr>
                <w:rFonts w:eastAsia="Times New Roman" w:cs="Calibri"/>
                <w:sz w:val="24"/>
                <w:szCs w:val="28"/>
                <w:lang w:val="en-GB" w:eastAsia="it-IT"/>
              </w:rPr>
              <w:t>The collaboration between the project partners is very effective and cuts across through the</w:t>
            </w:r>
            <w:r>
              <w:rPr>
                <w:rFonts w:eastAsia="Times New Roman" w:cs="Calibri"/>
                <w:sz w:val="24"/>
                <w:szCs w:val="28"/>
                <w:lang w:val="en-GB" w:eastAsia="it-IT"/>
              </w:rPr>
              <w:t xml:space="preserve"> </w:t>
            </w:r>
            <w:r w:rsidRPr="002B3B31">
              <w:rPr>
                <w:rFonts w:eastAsia="Times New Roman" w:cs="Calibri"/>
                <w:sz w:val="24"/>
                <w:szCs w:val="28"/>
                <w:lang w:val="en-GB" w:eastAsia="it-IT"/>
              </w:rPr>
              <w:t xml:space="preserve">different stages of execution of each WP. </w:t>
            </w:r>
            <w:r>
              <w:rPr>
                <w:rFonts w:eastAsia="Times New Roman" w:cs="Calibri"/>
                <w:sz w:val="24"/>
                <w:szCs w:val="28"/>
                <w:lang w:val="en-GB" w:eastAsia="it-IT"/>
              </w:rPr>
              <w:t>T</w:t>
            </w:r>
            <w:r w:rsidRPr="002B3B31">
              <w:rPr>
                <w:rFonts w:eastAsia="Times New Roman" w:cs="Calibri"/>
                <w:sz w:val="24"/>
                <w:szCs w:val="28"/>
                <w:lang w:val="en-GB" w:eastAsia="it-IT"/>
              </w:rPr>
              <w:t>he activities under each WP</w:t>
            </w:r>
            <w:r>
              <w:rPr>
                <w:rFonts w:eastAsia="Times New Roman" w:cs="Calibri"/>
                <w:sz w:val="24"/>
                <w:szCs w:val="28"/>
                <w:lang w:val="en-GB" w:eastAsia="it-IT"/>
              </w:rPr>
              <w:t xml:space="preserve"> </w:t>
            </w:r>
            <w:r w:rsidRPr="002B3B31">
              <w:rPr>
                <w:rFonts w:eastAsia="Times New Roman" w:cs="Calibri"/>
                <w:sz w:val="24"/>
                <w:szCs w:val="28"/>
                <w:lang w:val="en-GB" w:eastAsia="it-IT"/>
              </w:rPr>
              <w:t xml:space="preserve">are designed by the WP </w:t>
            </w:r>
            <w:r w:rsidRPr="002B3B31">
              <w:rPr>
                <w:rFonts w:eastAsia="Times New Roman" w:cs="Calibri"/>
                <w:sz w:val="24"/>
                <w:szCs w:val="28"/>
                <w:lang w:val="en-GB" w:eastAsia="it-IT"/>
              </w:rPr>
              <w:lastRenderedPageBreak/>
              <w:t>leader</w:t>
            </w:r>
            <w:r>
              <w:rPr>
                <w:rFonts w:eastAsia="Times New Roman" w:cs="Calibri"/>
                <w:sz w:val="24"/>
                <w:szCs w:val="28"/>
                <w:lang w:val="en-GB" w:eastAsia="it-IT"/>
              </w:rPr>
              <w:t xml:space="preserve"> who are </w:t>
            </w:r>
            <w:r w:rsidRPr="002B3B31">
              <w:rPr>
                <w:rFonts w:eastAsia="Times New Roman" w:cs="Calibri"/>
                <w:sz w:val="24"/>
                <w:szCs w:val="28"/>
                <w:lang w:val="en-GB" w:eastAsia="it-IT"/>
              </w:rPr>
              <w:t>using their own disciplinary knowledge and specialization. This</w:t>
            </w:r>
            <w:r>
              <w:rPr>
                <w:rFonts w:eastAsia="Times New Roman" w:cs="Calibri"/>
                <w:sz w:val="24"/>
                <w:szCs w:val="28"/>
                <w:lang w:val="en-GB" w:eastAsia="it-IT"/>
              </w:rPr>
              <w:t xml:space="preserve"> </w:t>
            </w:r>
            <w:r w:rsidRPr="002B3B31">
              <w:rPr>
                <w:rFonts w:eastAsia="Times New Roman" w:cs="Calibri"/>
                <w:sz w:val="24"/>
                <w:szCs w:val="28"/>
                <w:lang w:val="en-GB" w:eastAsia="it-IT"/>
              </w:rPr>
              <w:t>initial effort is then subject to multi-partner review and discussion, leading to a collaborative</w:t>
            </w:r>
            <w:r>
              <w:rPr>
                <w:rFonts w:eastAsia="Times New Roman" w:cs="Calibri"/>
                <w:sz w:val="24"/>
                <w:szCs w:val="28"/>
                <w:lang w:val="en-GB" w:eastAsia="it-IT"/>
              </w:rPr>
              <w:t xml:space="preserve"> </w:t>
            </w:r>
            <w:r w:rsidRPr="002B3B31">
              <w:rPr>
                <w:rFonts w:eastAsia="Times New Roman" w:cs="Calibri"/>
                <w:sz w:val="24"/>
                <w:szCs w:val="28"/>
                <w:lang w:val="en-GB" w:eastAsia="it-IT"/>
              </w:rPr>
              <w:t xml:space="preserve">effort from </w:t>
            </w:r>
            <w:r>
              <w:rPr>
                <w:rFonts w:eastAsia="Times New Roman" w:cs="Calibri"/>
                <w:sz w:val="24"/>
                <w:szCs w:val="28"/>
                <w:lang w:val="en-GB" w:eastAsia="it-IT"/>
              </w:rPr>
              <w:t>the entire consortium</w:t>
            </w:r>
            <w:r w:rsidRPr="002B3B31">
              <w:rPr>
                <w:rFonts w:eastAsia="Times New Roman" w:cs="Calibri"/>
                <w:sz w:val="24"/>
                <w:szCs w:val="28"/>
                <w:lang w:val="en-GB" w:eastAsia="it-IT"/>
              </w:rPr>
              <w:t>. In this process, the contributions from each partner is initially clearly</w:t>
            </w:r>
            <w:r>
              <w:rPr>
                <w:rFonts w:eastAsia="Times New Roman" w:cs="Calibri"/>
                <w:sz w:val="24"/>
                <w:szCs w:val="28"/>
                <w:lang w:val="en-GB" w:eastAsia="it-IT"/>
              </w:rPr>
              <w:t xml:space="preserve"> </w:t>
            </w:r>
            <w:r w:rsidRPr="002B3B31">
              <w:rPr>
                <w:rFonts w:eastAsia="Times New Roman" w:cs="Calibri"/>
                <w:sz w:val="24"/>
                <w:szCs w:val="28"/>
                <w:lang w:val="en-GB" w:eastAsia="it-IT"/>
              </w:rPr>
              <w:t xml:space="preserve">identifiable, but since the outputs represent an integrated whole, the specifics of </w:t>
            </w:r>
            <w:r w:rsidR="00FD318E">
              <w:rPr>
                <w:rFonts w:eastAsia="Times New Roman" w:cs="Calibri"/>
                <w:sz w:val="24"/>
                <w:szCs w:val="28"/>
                <w:lang w:val="en-GB" w:eastAsia="it-IT"/>
              </w:rPr>
              <w:t xml:space="preserve">the </w:t>
            </w:r>
            <w:r w:rsidRPr="002B3B31">
              <w:rPr>
                <w:rFonts w:eastAsia="Times New Roman" w:cs="Calibri"/>
                <w:sz w:val="24"/>
                <w:szCs w:val="28"/>
                <w:lang w:val="en-GB" w:eastAsia="it-IT"/>
              </w:rPr>
              <w:t>contribution</w:t>
            </w:r>
            <w:r w:rsidR="00FD318E">
              <w:rPr>
                <w:rFonts w:eastAsia="Times New Roman" w:cs="Calibri"/>
                <w:sz w:val="24"/>
                <w:szCs w:val="28"/>
                <w:lang w:val="en-GB" w:eastAsia="it-IT"/>
              </w:rPr>
              <w:t>s</w:t>
            </w:r>
            <w:r>
              <w:rPr>
                <w:rFonts w:eastAsia="Times New Roman" w:cs="Calibri"/>
                <w:sz w:val="24"/>
                <w:szCs w:val="28"/>
                <w:lang w:val="en-GB" w:eastAsia="it-IT"/>
              </w:rPr>
              <w:t xml:space="preserve"> </w:t>
            </w:r>
            <w:r w:rsidRPr="002B3B31">
              <w:rPr>
                <w:rFonts w:eastAsia="Times New Roman" w:cs="Calibri"/>
                <w:sz w:val="24"/>
                <w:szCs w:val="28"/>
                <w:lang w:val="en-GB" w:eastAsia="it-IT"/>
              </w:rPr>
              <w:t>eventually get</w:t>
            </w:r>
            <w:r>
              <w:rPr>
                <w:rFonts w:eastAsia="Times New Roman" w:cs="Calibri"/>
                <w:sz w:val="24"/>
                <w:szCs w:val="28"/>
                <w:lang w:val="en-GB" w:eastAsia="it-IT"/>
              </w:rPr>
              <w:t>s</w:t>
            </w:r>
            <w:r w:rsidRPr="002B3B31">
              <w:rPr>
                <w:rFonts w:eastAsia="Times New Roman" w:cs="Calibri"/>
                <w:sz w:val="24"/>
                <w:szCs w:val="28"/>
                <w:lang w:val="en-GB" w:eastAsia="it-IT"/>
              </w:rPr>
              <w:t xml:space="preserve"> merged.</w:t>
            </w:r>
          </w:p>
          <w:p w14:paraId="554C7312" w14:textId="404651D0" w:rsidR="000101DD" w:rsidRPr="002B3B31" w:rsidRDefault="002B3B31" w:rsidP="00445542">
            <w:pPr>
              <w:spacing w:after="0" w:line="276" w:lineRule="auto"/>
              <w:rPr>
                <w:i/>
                <w:sz w:val="24"/>
                <w:szCs w:val="24"/>
                <w:lang w:val="en-US"/>
              </w:rPr>
            </w:pPr>
            <w:r w:rsidRPr="002B3B31">
              <w:rPr>
                <w:rFonts w:eastAsia="Times New Roman" w:cs="Calibri"/>
                <w:sz w:val="24"/>
                <w:szCs w:val="28"/>
                <w:lang w:val="en-GB" w:eastAsia="it-IT"/>
              </w:rPr>
              <w:t>The project continues to meet the transnational nature. A segment of activities was country-based, the outcomes of which are being integrated into a research article which</w:t>
            </w:r>
            <w:r w:rsidR="00445542">
              <w:rPr>
                <w:rFonts w:eastAsia="Times New Roman" w:cs="Calibri"/>
                <w:sz w:val="24"/>
                <w:szCs w:val="28"/>
                <w:lang w:val="en-GB" w:eastAsia="it-IT"/>
              </w:rPr>
              <w:t xml:space="preserve"> </w:t>
            </w:r>
            <w:r w:rsidRPr="002B3B31">
              <w:rPr>
                <w:rFonts w:eastAsia="Times New Roman" w:cs="Calibri"/>
                <w:sz w:val="24"/>
                <w:szCs w:val="28"/>
                <w:lang w:val="en-GB" w:eastAsia="it-IT"/>
              </w:rPr>
              <w:t>present</w:t>
            </w:r>
            <w:r w:rsidR="00445542">
              <w:rPr>
                <w:rFonts w:eastAsia="Times New Roman" w:cs="Calibri"/>
                <w:sz w:val="24"/>
                <w:szCs w:val="28"/>
                <w:lang w:val="en-GB" w:eastAsia="it-IT"/>
              </w:rPr>
              <w:t xml:space="preserve">s </w:t>
            </w:r>
            <w:r w:rsidRPr="002B3B31">
              <w:rPr>
                <w:rFonts w:eastAsia="Times New Roman" w:cs="Calibri"/>
                <w:sz w:val="24"/>
                <w:szCs w:val="28"/>
                <w:lang w:val="en-GB" w:eastAsia="it-IT"/>
              </w:rPr>
              <w:t>transnational perspectives. The case studies are</w:t>
            </w:r>
            <w:r w:rsidR="00445542">
              <w:rPr>
                <w:rFonts w:eastAsia="Times New Roman" w:cs="Calibri"/>
                <w:sz w:val="24"/>
                <w:szCs w:val="28"/>
                <w:lang w:val="en-GB" w:eastAsia="it-IT"/>
              </w:rPr>
              <w:t xml:space="preserve"> </w:t>
            </w:r>
            <w:r w:rsidRPr="002B3B31">
              <w:rPr>
                <w:rFonts w:eastAsia="Times New Roman" w:cs="Calibri"/>
                <w:sz w:val="24"/>
                <w:szCs w:val="28"/>
                <w:lang w:val="en-GB" w:eastAsia="it-IT"/>
              </w:rPr>
              <w:t>essentially transnational in character and this will emerge even more clearly during data</w:t>
            </w:r>
            <w:r w:rsidR="00445542">
              <w:rPr>
                <w:rFonts w:eastAsia="Times New Roman" w:cs="Calibri"/>
                <w:sz w:val="24"/>
                <w:szCs w:val="28"/>
                <w:lang w:val="en-GB" w:eastAsia="it-IT"/>
              </w:rPr>
              <w:t xml:space="preserve"> </w:t>
            </w:r>
            <w:r w:rsidRPr="002B3B31">
              <w:rPr>
                <w:rFonts w:eastAsia="Times New Roman" w:cs="Calibri"/>
                <w:sz w:val="24"/>
                <w:szCs w:val="28"/>
                <w:lang w:val="en-GB" w:eastAsia="it-IT"/>
              </w:rPr>
              <w:t xml:space="preserve">analysis </w:t>
            </w:r>
            <w:r w:rsidR="00445542">
              <w:rPr>
                <w:rFonts w:eastAsia="Times New Roman" w:cs="Calibri"/>
                <w:sz w:val="24"/>
                <w:szCs w:val="28"/>
                <w:lang w:val="en-GB" w:eastAsia="it-IT"/>
              </w:rPr>
              <w:t>w</w:t>
            </w:r>
            <w:r w:rsidRPr="002B3B31">
              <w:rPr>
                <w:rFonts w:eastAsia="Times New Roman" w:cs="Calibri"/>
                <w:sz w:val="24"/>
                <w:szCs w:val="28"/>
                <w:lang w:val="en-GB" w:eastAsia="it-IT"/>
              </w:rPr>
              <w:t>hen case studies will be compiled and compared.</w:t>
            </w:r>
            <w:r w:rsidR="000101DD" w:rsidRPr="002B3B31">
              <w:rPr>
                <w:rFonts w:eastAsia="Times New Roman" w:cs="Calibri"/>
                <w:i/>
                <w:sz w:val="24"/>
                <w:szCs w:val="28"/>
                <w:lang w:val="en-GB" w:eastAsia="it-IT"/>
              </w:rPr>
              <w:t xml:space="preserve"> </w:t>
            </w:r>
          </w:p>
        </w:tc>
      </w:tr>
    </w:tbl>
    <w:p w14:paraId="754883FA" w14:textId="77777777" w:rsidR="000101DD" w:rsidRPr="002B6F86" w:rsidRDefault="000101DD" w:rsidP="000101DD">
      <w:pPr>
        <w:spacing w:after="0"/>
        <w:rPr>
          <w:lang w:val="en-US"/>
        </w:rPr>
      </w:pPr>
    </w:p>
    <w:p w14:paraId="79FC02E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9" w:name="_Toc456078773"/>
      <w:bookmarkStart w:id="10" w:name="_Toc456087228"/>
      <w:bookmarkStart w:id="11" w:name="_Toc500093061"/>
      <w:bookmarkStart w:id="12" w:name="_Toc500162363"/>
      <w:r w:rsidRPr="002B6F86">
        <w:rPr>
          <w:rFonts w:ascii="Gill Sans MT" w:eastAsia="MS Gothic" w:hAnsi="Gill Sans MT" w:cs="Arial"/>
          <w:b/>
          <w:color w:val="4F81BD"/>
          <w:sz w:val="24"/>
          <w:szCs w:val="24"/>
          <w:lang w:val="en-US" w:eastAsia="en-US"/>
        </w:rPr>
        <w:t>Coordination with other international project funded by WaterWorks2015,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9"/>
      <w:bookmarkEnd w:id="10"/>
      <w:bookmarkEnd w:id="11"/>
      <w:bookmarkEnd w:id="12"/>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22E3D1FB" w14:textId="46A5061E" w:rsidR="00445542" w:rsidRPr="00445542" w:rsidRDefault="00445542" w:rsidP="00445542">
            <w:pPr>
              <w:spacing w:after="0" w:line="276" w:lineRule="auto"/>
              <w:rPr>
                <w:sz w:val="24"/>
                <w:szCs w:val="24"/>
                <w:lang w:val="en-US"/>
              </w:rPr>
            </w:pPr>
            <w:r>
              <w:rPr>
                <w:sz w:val="24"/>
                <w:szCs w:val="24"/>
                <w:lang w:val="en-US"/>
              </w:rPr>
              <w:t xml:space="preserve">The report does not elaborate on coordination of NATWIP with </w:t>
            </w:r>
            <w:r w:rsidRPr="00445542">
              <w:rPr>
                <w:sz w:val="24"/>
                <w:szCs w:val="24"/>
                <w:lang w:val="en-US"/>
              </w:rPr>
              <w:t>other international project funded by WaterWorks2015</w:t>
            </w:r>
            <w:r>
              <w:rPr>
                <w:sz w:val="24"/>
                <w:szCs w:val="24"/>
                <w:lang w:val="en-US"/>
              </w:rPr>
              <w:t>, WaterWorks2017</w:t>
            </w:r>
            <w:r w:rsidRPr="00445542">
              <w:rPr>
                <w:sz w:val="24"/>
                <w:szCs w:val="24"/>
                <w:lang w:val="en-US"/>
              </w:rPr>
              <w:t xml:space="preserve"> or other instruments</w:t>
            </w:r>
            <w:r>
              <w:rPr>
                <w:sz w:val="24"/>
                <w:szCs w:val="24"/>
                <w:lang w:val="en-US"/>
              </w:rPr>
              <w:t>. Therefore, I cannot judge this part. This has to be clarified.</w:t>
            </w: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3" w:name="_Toc456078774"/>
      <w:bookmarkStart w:id="14" w:name="_Toc456087229"/>
      <w:bookmarkStart w:id="15" w:name="_Toc500093062"/>
      <w:bookmarkStart w:id="16"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3"/>
      <w:bookmarkEnd w:id="14"/>
      <w:bookmarkEnd w:id="15"/>
      <w:bookmarkEnd w:id="16"/>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10E85CB7" w14:textId="23A84868" w:rsidR="000101DD" w:rsidRPr="00BD1A2A" w:rsidRDefault="00BD1A2A" w:rsidP="00BD1A2A">
            <w:pPr>
              <w:rPr>
                <w:sz w:val="24"/>
                <w:szCs w:val="24"/>
                <w:lang w:val="en-US"/>
              </w:rPr>
            </w:pPr>
            <w:r>
              <w:rPr>
                <w:rStyle w:val="hps"/>
                <w:sz w:val="24"/>
                <w:szCs w:val="24"/>
                <w:lang w:val="en-US"/>
              </w:rPr>
              <w:t>NATWIP</w:t>
            </w:r>
            <w:r w:rsidRPr="00234753">
              <w:rPr>
                <w:rStyle w:val="hps"/>
                <w:sz w:val="24"/>
                <w:szCs w:val="24"/>
                <w:lang w:val="en-US"/>
              </w:rPr>
              <w:t xml:space="preserve"> contributes to a large range of themes and sub-themes of the call. This research covers Sub-theme 1.2. Integrative management by implementing Natural Water Retention Measures (NWRM)</w:t>
            </w:r>
            <w:r>
              <w:t xml:space="preserve"> and Sub-theme 1.3 </w:t>
            </w:r>
            <w:r w:rsidRPr="00BD1A2A">
              <w:rPr>
                <w:rStyle w:val="hps"/>
                <w:sz w:val="24"/>
                <w:szCs w:val="24"/>
                <w:lang w:val="en-US"/>
              </w:rPr>
              <w:t>Mitigating water stress in urbanized areas</w:t>
            </w:r>
            <w:r w:rsidRPr="00234753">
              <w:rPr>
                <w:rStyle w:val="hps"/>
                <w:sz w:val="24"/>
                <w:szCs w:val="24"/>
                <w:lang w:val="en-US"/>
              </w:rPr>
              <w:t>. Furthermore, the project strengthens socio-economic approaches to water management (Theme 2) and especially to S</w:t>
            </w:r>
            <w:r w:rsidRPr="00234753">
              <w:rPr>
                <w:sz w:val="24"/>
                <w:szCs w:val="24"/>
                <w:lang w:val="en-US"/>
              </w:rPr>
              <w:t xml:space="preserve">ub-theme 2.1. Integrating economic and social analyses into decision-making processes, Sub-theme 2.3. Connecting science to society and Sub-theme 2.4. Promoting new governance and knowledge management approaches. In addition, </w:t>
            </w:r>
            <w:r>
              <w:rPr>
                <w:sz w:val="24"/>
                <w:szCs w:val="24"/>
                <w:lang w:val="en-US"/>
              </w:rPr>
              <w:t>NATWIP</w:t>
            </w:r>
            <w:r w:rsidRPr="00234753">
              <w:rPr>
                <w:sz w:val="24"/>
                <w:szCs w:val="24"/>
                <w:lang w:val="en-US"/>
              </w:rPr>
              <w:t xml:space="preserve"> contributes to Theme 3. Supporting tools for sustainable integrative management of water resources and complements the actions developed under the European Strategy Forum for Research Infrastructures (ESFRI) and other European initiatives.</w:t>
            </w:r>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62D00CC0" w14:textId="4A2093F0" w:rsidR="006B0346" w:rsidRPr="006B0346" w:rsidRDefault="002C7962" w:rsidP="006B0346">
            <w:pPr>
              <w:spacing w:after="0"/>
              <w:rPr>
                <w:sz w:val="24"/>
                <w:szCs w:val="24"/>
                <w:lang w:val="en-US"/>
              </w:rPr>
            </w:pPr>
            <w:r w:rsidRPr="002C7962">
              <w:rPr>
                <w:sz w:val="24"/>
                <w:szCs w:val="24"/>
                <w:lang w:val="en-US"/>
              </w:rPr>
              <w:t xml:space="preserve">NATWIP has </w:t>
            </w:r>
            <w:r w:rsidR="006B0346">
              <w:rPr>
                <w:sz w:val="24"/>
                <w:szCs w:val="24"/>
                <w:lang w:val="en-US"/>
              </w:rPr>
              <w:t>successfully</w:t>
            </w:r>
            <w:r w:rsidRPr="002C7962">
              <w:rPr>
                <w:sz w:val="24"/>
                <w:szCs w:val="24"/>
                <w:lang w:val="en-US"/>
              </w:rPr>
              <w:t xml:space="preserve"> engage</w:t>
            </w:r>
            <w:r w:rsidR="006B0346">
              <w:rPr>
                <w:sz w:val="24"/>
                <w:szCs w:val="24"/>
                <w:lang w:val="en-US"/>
              </w:rPr>
              <w:t>d</w:t>
            </w:r>
            <w:r w:rsidRPr="002C7962">
              <w:rPr>
                <w:sz w:val="24"/>
                <w:szCs w:val="24"/>
                <w:lang w:val="en-US"/>
              </w:rPr>
              <w:t xml:space="preserve"> with several major stakeholders,</w:t>
            </w:r>
            <w:r w:rsidR="006B0346">
              <w:rPr>
                <w:sz w:val="24"/>
                <w:szCs w:val="24"/>
                <w:lang w:val="en-US"/>
              </w:rPr>
              <w:t xml:space="preserve"> </w:t>
            </w:r>
            <w:r w:rsidRPr="002C7962">
              <w:rPr>
                <w:sz w:val="24"/>
                <w:szCs w:val="24"/>
                <w:lang w:val="en-US"/>
              </w:rPr>
              <w:t xml:space="preserve">including the public sector </w:t>
            </w:r>
            <w:r w:rsidR="006B0346">
              <w:rPr>
                <w:sz w:val="24"/>
                <w:szCs w:val="24"/>
                <w:lang w:val="en-US"/>
              </w:rPr>
              <w:t xml:space="preserve">like </w:t>
            </w:r>
            <w:r w:rsidRPr="002C7962">
              <w:rPr>
                <w:sz w:val="24"/>
                <w:szCs w:val="24"/>
                <w:lang w:val="en-US"/>
              </w:rPr>
              <w:t>government</w:t>
            </w:r>
            <w:r w:rsidR="006B0346">
              <w:rPr>
                <w:sz w:val="24"/>
                <w:szCs w:val="24"/>
                <w:lang w:val="en-US"/>
              </w:rPr>
              <w:t xml:space="preserve">, </w:t>
            </w:r>
            <w:r w:rsidRPr="002C7962">
              <w:rPr>
                <w:sz w:val="24"/>
                <w:szCs w:val="24"/>
                <w:lang w:val="en-US"/>
              </w:rPr>
              <w:t>municipal</w:t>
            </w:r>
            <w:r w:rsidR="006B0346">
              <w:rPr>
                <w:sz w:val="24"/>
                <w:szCs w:val="24"/>
                <w:lang w:val="en-US"/>
              </w:rPr>
              <w:t xml:space="preserve"> and </w:t>
            </w:r>
            <w:r w:rsidRPr="002C7962">
              <w:rPr>
                <w:sz w:val="24"/>
                <w:szCs w:val="24"/>
                <w:lang w:val="en-US"/>
              </w:rPr>
              <w:t>local authorities, academia, civil society and</w:t>
            </w:r>
            <w:r w:rsidR="006B0346">
              <w:rPr>
                <w:sz w:val="24"/>
                <w:szCs w:val="24"/>
                <w:lang w:val="en-US"/>
              </w:rPr>
              <w:t xml:space="preserve"> </w:t>
            </w:r>
            <w:r w:rsidRPr="002C7962">
              <w:rPr>
                <w:sz w:val="24"/>
                <w:szCs w:val="24"/>
                <w:lang w:val="en-US"/>
              </w:rPr>
              <w:t>NGOs</w:t>
            </w:r>
            <w:r w:rsidR="006B0346">
              <w:rPr>
                <w:sz w:val="24"/>
                <w:szCs w:val="24"/>
                <w:lang w:val="en-US"/>
              </w:rPr>
              <w:t xml:space="preserve"> as well as </w:t>
            </w:r>
            <w:r w:rsidRPr="002C7962">
              <w:rPr>
                <w:sz w:val="24"/>
                <w:szCs w:val="24"/>
                <w:lang w:val="en-US"/>
              </w:rPr>
              <w:t>the private sector. This engagement has been through interviews with</w:t>
            </w:r>
            <w:r w:rsidR="006B0346">
              <w:rPr>
                <w:sz w:val="24"/>
                <w:szCs w:val="24"/>
                <w:lang w:val="en-US"/>
              </w:rPr>
              <w:t xml:space="preserve"> </w:t>
            </w:r>
            <w:r w:rsidRPr="002C7962">
              <w:rPr>
                <w:sz w:val="24"/>
                <w:szCs w:val="24"/>
                <w:lang w:val="en-US"/>
              </w:rPr>
              <w:t xml:space="preserve">them as key experts in NBS. The purpose </w:t>
            </w:r>
            <w:r w:rsidR="006B0346">
              <w:rPr>
                <w:sz w:val="24"/>
                <w:szCs w:val="24"/>
                <w:lang w:val="en-US"/>
              </w:rPr>
              <w:t>i</w:t>
            </w:r>
            <w:r w:rsidRPr="002C7962">
              <w:rPr>
                <w:sz w:val="24"/>
                <w:szCs w:val="24"/>
                <w:lang w:val="en-US"/>
              </w:rPr>
              <w:t>s to gain knowledge about their</w:t>
            </w:r>
            <w:r w:rsidR="006B0346">
              <w:rPr>
                <w:sz w:val="24"/>
                <w:szCs w:val="24"/>
                <w:lang w:val="en-US"/>
              </w:rPr>
              <w:t xml:space="preserve"> </w:t>
            </w:r>
            <w:r w:rsidRPr="002C7962">
              <w:rPr>
                <w:sz w:val="24"/>
                <w:szCs w:val="24"/>
                <w:lang w:val="en-US"/>
              </w:rPr>
              <w:t>experiences and understanding about NBS and its application to manage the distinct water</w:t>
            </w:r>
            <w:r w:rsidR="006B0346">
              <w:rPr>
                <w:sz w:val="24"/>
                <w:szCs w:val="24"/>
                <w:lang w:val="en-US"/>
              </w:rPr>
              <w:t xml:space="preserve"> </w:t>
            </w:r>
            <w:r w:rsidR="006B0346" w:rsidRPr="006B0346">
              <w:rPr>
                <w:sz w:val="24"/>
                <w:szCs w:val="24"/>
                <w:lang w:val="en-US"/>
              </w:rPr>
              <w:t>challenges within their respective jurisdictions. These interviews were conducted by the</w:t>
            </w:r>
            <w:r w:rsidR="006B0346">
              <w:rPr>
                <w:sz w:val="24"/>
                <w:szCs w:val="24"/>
                <w:lang w:val="en-US"/>
              </w:rPr>
              <w:t xml:space="preserve"> </w:t>
            </w:r>
            <w:r w:rsidR="006B0346" w:rsidRPr="006B0346">
              <w:rPr>
                <w:sz w:val="24"/>
                <w:szCs w:val="24"/>
                <w:lang w:val="en-US"/>
              </w:rPr>
              <w:t>partners in every country.</w:t>
            </w:r>
          </w:p>
          <w:p w14:paraId="32F1C391" w14:textId="2959739C" w:rsidR="006B0346" w:rsidRPr="006B0346" w:rsidRDefault="006B0346" w:rsidP="006B0346">
            <w:pPr>
              <w:spacing w:after="0"/>
              <w:rPr>
                <w:sz w:val="24"/>
                <w:szCs w:val="24"/>
                <w:lang w:val="en-US"/>
              </w:rPr>
            </w:pPr>
            <w:r w:rsidRPr="006B0346">
              <w:rPr>
                <w:sz w:val="24"/>
                <w:szCs w:val="24"/>
                <w:lang w:val="en-US"/>
              </w:rPr>
              <w:t xml:space="preserve">Further engagement with stakeholders is </w:t>
            </w:r>
            <w:r>
              <w:rPr>
                <w:sz w:val="24"/>
                <w:szCs w:val="24"/>
                <w:lang w:val="en-US"/>
              </w:rPr>
              <w:t>ensured</w:t>
            </w:r>
            <w:r w:rsidRPr="006B0346">
              <w:rPr>
                <w:sz w:val="24"/>
                <w:szCs w:val="24"/>
                <w:lang w:val="en-US"/>
              </w:rPr>
              <w:t xml:space="preserve"> with the</w:t>
            </w:r>
            <w:r>
              <w:rPr>
                <w:sz w:val="24"/>
                <w:szCs w:val="24"/>
                <w:lang w:val="en-US"/>
              </w:rPr>
              <w:t xml:space="preserve"> </w:t>
            </w:r>
            <w:r w:rsidRPr="006B0346">
              <w:rPr>
                <w:sz w:val="24"/>
                <w:szCs w:val="24"/>
                <w:lang w:val="en-US"/>
              </w:rPr>
              <w:t>stakeholders closely connected to the case studies. In Norway, the case study site</w:t>
            </w:r>
            <w:r>
              <w:rPr>
                <w:sz w:val="24"/>
                <w:szCs w:val="24"/>
                <w:lang w:val="en-US"/>
              </w:rPr>
              <w:t xml:space="preserve"> </w:t>
            </w:r>
            <w:r w:rsidRPr="006B0346">
              <w:rPr>
                <w:sz w:val="24"/>
                <w:szCs w:val="24"/>
                <w:lang w:val="en-US"/>
              </w:rPr>
              <w:t>is set in Skien municipality and throughout the reporting period they have been involved in the</w:t>
            </w:r>
            <w:r>
              <w:rPr>
                <w:sz w:val="24"/>
                <w:szCs w:val="24"/>
                <w:lang w:val="en-US"/>
              </w:rPr>
              <w:t xml:space="preserve"> </w:t>
            </w:r>
            <w:r w:rsidRPr="006B0346">
              <w:rPr>
                <w:sz w:val="24"/>
                <w:szCs w:val="24"/>
                <w:lang w:val="en-US"/>
              </w:rPr>
              <w:t>project. NGI has had</w:t>
            </w:r>
            <w:r>
              <w:rPr>
                <w:sz w:val="24"/>
                <w:szCs w:val="24"/>
                <w:lang w:val="en-US"/>
              </w:rPr>
              <w:t xml:space="preserve"> </w:t>
            </w:r>
            <w:r w:rsidRPr="006B0346">
              <w:rPr>
                <w:sz w:val="24"/>
                <w:szCs w:val="24"/>
                <w:lang w:val="en-US"/>
              </w:rPr>
              <w:t>meetings with them to keep them updated about the project as well as</w:t>
            </w:r>
            <w:r>
              <w:rPr>
                <w:sz w:val="24"/>
                <w:szCs w:val="24"/>
                <w:lang w:val="en-US"/>
              </w:rPr>
              <w:t xml:space="preserve"> </w:t>
            </w:r>
            <w:r w:rsidRPr="006B0346">
              <w:rPr>
                <w:sz w:val="24"/>
                <w:szCs w:val="24"/>
                <w:lang w:val="en-US"/>
              </w:rPr>
              <w:t>to see how the knowledge gained by the researchers can be best used by the practitioners.</w:t>
            </w:r>
          </w:p>
          <w:p w14:paraId="7FE86E95" w14:textId="77777777" w:rsidR="006B0346" w:rsidRPr="006B0346" w:rsidRDefault="006B0346" w:rsidP="006B0346">
            <w:pPr>
              <w:spacing w:after="0"/>
              <w:rPr>
                <w:sz w:val="24"/>
                <w:szCs w:val="24"/>
                <w:lang w:val="en-US"/>
              </w:rPr>
            </w:pPr>
            <w:r w:rsidRPr="006B0346">
              <w:rPr>
                <w:sz w:val="24"/>
                <w:szCs w:val="24"/>
                <w:lang w:val="en-US"/>
              </w:rPr>
              <w:t>Similarly, the South African team interviewed key stakeholders, including landowners linked to</w:t>
            </w:r>
          </w:p>
          <w:p w14:paraId="12E75353" w14:textId="77777777" w:rsidR="006B0346" w:rsidRPr="006B0346" w:rsidRDefault="006B0346" w:rsidP="006B0346">
            <w:pPr>
              <w:spacing w:after="0"/>
              <w:rPr>
                <w:sz w:val="24"/>
                <w:szCs w:val="24"/>
                <w:lang w:val="en-US"/>
              </w:rPr>
            </w:pPr>
            <w:r w:rsidRPr="006B0346">
              <w:rPr>
                <w:sz w:val="24"/>
                <w:szCs w:val="24"/>
                <w:lang w:val="en-US"/>
              </w:rPr>
              <w:t>one of their case studies. In Sweden, close communication with the public sector and other</w:t>
            </w:r>
          </w:p>
          <w:p w14:paraId="71952439" w14:textId="19843702" w:rsidR="002C7962" w:rsidRPr="002C7962" w:rsidRDefault="006B0346" w:rsidP="006B0346">
            <w:pPr>
              <w:spacing w:after="0"/>
              <w:rPr>
                <w:i/>
                <w:sz w:val="24"/>
                <w:szCs w:val="24"/>
                <w:lang w:val="en-US"/>
              </w:rPr>
            </w:pPr>
            <w:r w:rsidRPr="006B0346">
              <w:rPr>
                <w:sz w:val="24"/>
                <w:szCs w:val="24"/>
                <w:lang w:val="en-US"/>
              </w:rPr>
              <w:t>actors connected to the case studies is being maintained. In India, close ties with the</w:t>
            </w:r>
            <w:r>
              <w:rPr>
                <w:sz w:val="24"/>
                <w:szCs w:val="24"/>
                <w:lang w:val="en-US"/>
              </w:rPr>
              <w:t xml:space="preserve"> </w:t>
            </w:r>
            <w:r w:rsidRPr="006B0346">
              <w:rPr>
                <w:sz w:val="24"/>
                <w:szCs w:val="24"/>
                <w:lang w:val="en-US"/>
              </w:rPr>
              <w:t>governmental as well as civil society actors connected to the case studies have been</w:t>
            </w:r>
            <w:r>
              <w:rPr>
                <w:sz w:val="24"/>
                <w:szCs w:val="24"/>
                <w:lang w:val="en-US"/>
              </w:rPr>
              <w:t xml:space="preserve"> </w:t>
            </w:r>
            <w:r w:rsidRPr="006B0346">
              <w:rPr>
                <w:sz w:val="24"/>
                <w:szCs w:val="24"/>
                <w:lang w:val="en-US"/>
              </w:rPr>
              <w:t>established.</w:t>
            </w:r>
            <w:r>
              <w:rPr>
                <w:sz w:val="24"/>
                <w:szCs w:val="24"/>
                <w:lang w:val="en-US"/>
              </w:rPr>
              <w:t xml:space="preserve"> </w:t>
            </w:r>
            <w:r w:rsidRPr="006B0346">
              <w:rPr>
                <w:sz w:val="24"/>
                <w:szCs w:val="24"/>
                <w:lang w:val="en-US"/>
              </w:rPr>
              <w:t xml:space="preserve">In Brazil, the </w:t>
            </w:r>
            <w:r>
              <w:rPr>
                <w:sz w:val="24"/>
                <w:szCs w:val="24"/>
                <w:lang w:val="en-US"/>
              </w:rPr>
              <w:t xml:space="preserve">new </w:t>
            </w:r>
            <w:r w:rsidRPr="006B0346">
              <w:rPr>
                <w:sz w:val="24"/>
                <w:szCs w:val="24"/>
                <w:lang w:val="en-US"/>
              </w:rPr>
              <w:t>Associate Partner IIS-Rio has held interviews and meetings with</w:t>
            </w:r>
            <w:r>
              <w:rPr>
                <w:sz w:val="24"/>
                <w:szCs w:val="24"/>
                <w:lang w:val="en-US"/>
              </w:rPr>
              <w:t xml:space="preserve"> </w:t>
            </w:r>
            <w:r w:rsidRPr="006B0346">
              <w:rPr>
                <w:sz w:val="24"/>
                <w:szCs w:val="24"/>
                <w:lang w:val="en-US"/>
              </w:rPr>
              <w:t>professionals involved in the NBS theme of the academy and the public and private sectors.</w:t>
            </w:r>
          </w:p>
        </w:tc>
      </w:tr>
    </w:tbl>
    <w:p w14:paraId="463B2FB6" w14:textId="77777777" w:rsidR="000101DD" w:rsidRDefault="000101DD" w:rsidP="000101DD">
      <w:pPr>
        <w:spacing w:after="0"/>
        <w:rPr>
          <w:lang w:val="en-US"/>
        </w:rPr>
      </w:pPr>
    </w:p>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sz w:val="24"/>
          <w:szCs w:val="24"/>
          <w:lang w:val="en-GB" w:eastAsia="it-IT"/>
        </w:rPr>
      </w:pPr>
      <w:bookmarkStart w:id="17" w:name="_Toc456078775"/>
      <w:bookmarkStart w:id="18" w:name="_Toc456087230"/>
      <w:bookmarkStart w:id="19" w:name="_Toc500093063"/>
      <w:bookmarkStart w:id="20"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17"/>
      <w:bookmarkEnd w:id="18"/>
      <w:bookmarkEnd w:id="19"/>
      <w:bookmarkEnd w:id="20"/>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FE593D">
        <w:tc>
          <w:tcPr>
            <w:tcW w:w="1526"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61C1E30B" w14:textId="77777777" w:rsidTr="00FE593D">
        <w:tc>
          <w:tcPr>
            <w:tcW w:w="1526" w:type="dxa"/>
          </w:tcPr>
          <w:p w14:paraId="46EA43AF" w14:textId="08DA7907" w:rsidR="000101DD" w:rsidRPr="002B6F86" w:rsidRDefault="00445542"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29</w:t>
            </w:r>
          </w:p>
        </w:tc>
        <w:tc>
          <w:tcPr>
            <w:tcW w:w="4111" w:type="dxa"/>
          </w:tcPr>
          <w:p w14:paraId="2433761B" w14:textId="57847778" w:rsidR="000101DD" w:rsidRPr="002B6F86" w:rsidRDefault="00445542" w:rsidP="00C90645">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 xml:space="preserve">Please indicate if there is </w:t>
            </w:r>
            <w:r w:rsidRPr="00445542">
              <w:rPr>
                <w:rFonts w:ascii="Gill Sans MT" w:hAnsi="Gill Sans MT"/>
                <w:sz w:val="24"/>
                <w:szCs w:val="28"/>
                <w:lang w:val="fi-FI"/>
              </w:rPr>
              <w:t>coordination of NATWIP with other international project</w:t>
            </w:r>
            <w:r w:rsidR="00C90645">
              <w:rPr>
                <w:rFonts w:ascii="Gill Sans MT" w:hAnsi="Gill Sans MT"/>
                <w:sz w:val="24"/>
                <w:szCs w:val="28"/>
                <w:lang w:val="fi-FI"/>
              </w:rPr>
              <w:t>s</w:t>
            </w:r>
            <w:r w:rsidRPr="00445542">
              <w:rPr>
                <w:rFonts w:ascii="Gill Sans MT" w:hAnsi="Gill Sans MT"/>
                <w:sz w:val="24"/>
                <w:szCs w:val="28"/>
                <w:lang w:val="fi-FI"/>
              </w:rPr>
              <w:t xml:space="preserve"> funded by WaterWorks2015, WaterWorks201</w:t>
            </w:r>
            <w:r w:rsidR="00C90645">
              <w:rPr>
                <w:rFonts w:ascii="Gill Sans MT" w:hAnsi="Gill Sans MT"/>
                <w:sz w:val="24"/>
                <w:szCs w:val="28"/>
                <w:lang w:val="fi-FI"/>
              </w:rPr>
              <w:t>8</w:t>
            </w:r>
            <w:r w:rsidRPr="00445542">
              <w:rPr>
                <w:rFonts w:ascii="Gill Sans MT" w:hAnsi="Gill Sans MT"/>
                <w:sz w:val="24"/>
                <w:szCs w:val="28"/>
                <w:lang w:val="fi-FI"/>
              </w:rPr>
              <w:t xml:space="preserve"> or other instruments.</w:t>
            </w:r>
          </w:p>
        </w:tc>
        <w:tc>
          <w:tcPr>
            <w:tcW w:w="4141" w:type="dxa"/>
          </w:tcPr>
          <w:p w14:paraId="6546A201" w14:textId="07AC0D46" w:rsidR="000101DD" w:rsidRPr="002B6F86" w:rsidRDefault="00C90645"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With more information evaluation point 3 (</w:t>
            </w:r>
            <w:r w:rsidRPr="002F14B8">
              <w:rPr>
                <w:rFonts w:ascii="Gill Sans MT" w:hAnsi="Gill Sans MT"/>
                <w:sz w:val="24"/>
                <w:szCs w:val="28"/>
                <w:lang w:val="fi-FI"/>
              </w:rPr>
              <w:t>Coordination with other international project</w:t>
            </w:r>
            <w:r>
              <w:rPr>
                <w:rFonts w:ascii="Gill Sans MT" w:hAnsi="Gill Sans MT"/>
                <w:sz w:val="24"/>
                <w:szCs w:val="28"/>
                <w:lang w:val="fi-FI"/>
              </w:rPr>
              <w:t>s</w:t>
            </w:r>
            <w:r w:rsidRPr="002F14B8">
              <w:rPr>
                <w:rFonts w:ascii="Gill Sans MT" w:hAnsi="Gill Sans MT"/>
                <w:sz w:val="24"/>
                <w:szCs w:val="28"/>
                <w:lang w:val="fi-FI"/>
              </w:rPr>
              <w:t xml:space="preserve"> funded</w:t>
            </w:r>
            <w:r>
              <w:rPr>
                <w:rFonts w:ascii="Gill Sans MT" w:hAnsi="Gill Sans MT"/>
                <w:sz w:val="24"/>
                <w:szCs w:val="28"/>
                <w:lang w:val="fi-FI"/>
              </w:rPr>
              <w:t>) can be better judged by the reviewer.</w:t>
            </w:r>
            <w:bookmarkStart w:id="21" w:name="_GoBack"/>
            <w:bookmarkEnd w:id="21"/>
          </w:p>
        </w:tc>
      </w:tr>
      <w:tr w:rsidR="000101DD" w:rsidRPr="002B6F86" w14:paraId="3D05A4B1" w14:textId="77777777" w:rsidTr="00FE593D">
        <w:tc>
          <w:tcPr>
            <w:tcW w:w="1526" w:type="dxa"/>
          </w:tcPr>
          <w:p w14:paraId="662FFF4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6212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F78168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5F431B79" w14:textId="77777777" w:rsidTr="00FE593D">
        <w:tc>
          <w:tcPr>
            <w:tcW w:w="1526" w:type="dxa"/>
          </w:tcPr>
          <w:p w14:paraId="1C8BFE2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1A3096C"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6AD3E7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01F6D40F" w14:textId="77777777" w:rsidTr="00FE593D">
        <w:tc>
          <w:tcPr>
            <w:tcW w:w="1526" w:type="dxa"/>
          </w:tcPr>
          <w:p w14:paraId="2C81D78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C366F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F6BB47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FE593D">
        <w:trPr>
          <w:jc w:val="center"/>
        </w:trPr>
        <w:tc>
          <w:tcPr>
            <w:tcW w:w="9778" w:type="dxa"/>
          </w:tcPr>
          <w:p w14:paraId="7C08F13B" w14:textId="37D275CC" w:rsidR="000101DD" w:rsidRPr="00E8329F" w:rsidRDefault="00BD1A2A" w:rsidP="00A73B79">
            <w:pPr>
              <w:spacing w:after="0" w:line="276" w:lineRule="auto"/>
              <w:rPr>
                <w:i/>
                <w:sz w:val="24"/>
                <w:szCs w:val="24"/>
                <w:lang w:val="en-US"/>
              </w:rPr>
            </w:pPr>
            <w:r w:rsidRPr="00D37DEA">
              <w:rPr>
                <w:rStyle w:val="hps"/>
                <w:sz w:val="24"/>
                <w:szCs w:val="24"/>
              </w:rPr>
              <w:t xml:space="preserve">I do not see any additional risks to the ones which occurred due to the </w:t>
            </w:r>
            <w:r w:rsidR="00A73B79">
              <w:rPr>
                <w:rStyle w:val="hps"/>
                <w:sz w:val="24"/>
                <w:szCs w:val="24"/>
              </w:rPr>
              <w:t>COVID</w:t>
            </w:r>
            <w:r w:rsidRPr="00D37DEA">
              <w:rPr>
                <w:rStyle w:val="hps"/>
                <w:sz w:val="24"/>
                <w:szCs w:val="24"/>
              </w:rPr>
              <w:t>-19 situation. The project team will reach their goals.</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3919"/>
        <w:gridCol w:w="3666"/>
      </w:tblGrid>
      <w:tr w:rsidR="000101DD" w:rsidRPr="002B6F86" w14:paraId="3DAFDA8A" w14:textId="77777777" w:rsidTr="00FE593D">
        <w:tc>
          <w:tcPr>
            <w:tcW w:w="1373" w:type="pct"/>
            <w:shd w:val="clear" w:color="auto" w:fill="0070C0"/>
          </w:tcPr>
          <w:p w14:paraId="41CCD78D" w14:textId="77777777" w:rsidR="000101DD" w:rsidRPr="002B6F86" w:rsidRDefault="000101DD" w:rsidP="00FE593D">
            <w:pPr>
              <w:spacing w:after="0"/>
              <w:rPr>
                <w:color w:val="FFFFFF"/>
                <w:sz w:val="24"/>
                <w:szCs w:val="24"/>
                <w:lang w:val="en-US"/>
              </w:rPr>
            </w:pPr>
            <w:r w:rsidRPr="002B6F86">
              <w:rPr>
                <w:color w:val="FFFFFF"/>
                <w:sz w:val="24"/>
                <w:szCs w:val="24"/>
                <w:lang w:val="en-US"/>
              </w:rPr>
              <w:t>Name</w:t>
            </w:r>
          </w:p>
        </w:tc>
        <w:tc>
          <w:tcPr>
            <w:tcW w:w="1874" w:type="pct"/>
            <w:shd w:val="clear" w:color="auto" w:fill="0070C0"/>
          </w:tcPr>
          <w:p w14:paraId="6A760799" w14:textId="77777777" w:rsidR="000101DD" w:rsidRPr="002B6F86" w:rsidRDefault="000101DD" w:rsidP="00FE593D">
            <w:pPr>
              <w:spacing w:after="0"/>
              <w:rPr>
                <w:color w:val="FFFFFF"/>
                <w:sz w:val="24"/>
                <w:szCs w:val="24"/>
                <w:lang w:val="en-US"/>
              </w:rPr>
            </w:pPr>
            <w:r w:rsidRPr="002B6F86">
              <w:rPr>
                <w:color w:val="FFFFFF"/>
                <w:sz w:val="24"/>
                <w:szCs w:val="24"/>
                <w:lang w:val="en-US"/>
              </w:rPr>
              <w:t>Organisation</w:t>
            </w:r>
          </w:p>
        </w:tc>
        <w:tc>
          <w:tcPr>
            <w:tcW w:w="1753" w:type="pct"/>
            <w:shd w:val="clear" w:color="auto" w:fill="0070C0"/>
          </w:tcPr>
          <w:p w14:paraId="4D0E6E72" w14:textId="77777777" w:rsidR="000101DD" w:rsidRPr="002B6F86" w:rsidRDefault="000101DD" w:rsidP="00FE593D">
            <w:pPr>
              <w:spacing w:after="0"/>
              <w:rPr>
                <w:color w:val="FFFFFF"/>
                <w:sz w:val="24"/>
                <w:szCs w:val="24"/>
                <w:lang w:val="en-US"/>
              </w:rPr>
            </w:pPr>
            <w:r w:rsidRPr="002B6F86">
              <w:rPr>
                <w:color w:val="FFFFFF"/>
                <w:sz w:val="24"/>
                <w:szCs w:val="24"/>
                <w:lang w:val="en-US"/>
              </w:rPr>
              <w:t>Signature</w:t>
            </w:r>
          </w:p>
        </w:tc>
      </w:tr>
      <w:tr w:rsidR="000101DD" w:rsidRPr="002B6F86" w14:paraId="6EF351FF" w14:textId="77777777" w:rsidTr="00FE593D">
        <w:tc>
          <w:tcPr>
            <w:tcW w:w="1373" w:type="pct"/>
          </w:tcPr>
          <w:p w14:paraId="1E5FB2C8" w14:textId="77777777" w:rsidR="000101DD" w:rsidRPr="002B6F86" w:rsidRDefault="000101DD" w:rsidP="00FE593D">
            <w:pPr>
              <w:spacing w:after="0"/>
              <w:rPr>
                <w:sz w:val="24"/>
                <w:szCs w:val="24"/>
                <w:lang w:val="en-US"/>
              </w:rPr>
            </w:pPr>
          </w:p>
        </w:tc>
        <w:tc>
          <w:tcPr>
            <w:tcW w:w="1874" w:type="pct"/>
          </w:tcPr>
          <w:p w14:paraId="585A638B" w14:textId="77777777" w:rsidR="000101DD" w:rsidRPr="002B6F86" w:rsidRDefault="000101DD" w:rsidP="00FE593D">
            <w:pPr>
              <w:spacing w:after="0"/>
              <w:rPr>
                <w:sz w:val="24"/>
                <w:szCs w:val="24"/>
                <w:lang w:val="en-US"/>
              </w:rPr>
            </w:pPr>
          </w:p>
        </w:tc>
        <w:tc>
          <w:tcPr>
            <w:tcW w:w="1753" w:type="pct"/>
          </w:tcPr>
          <w:p w14:paraId="1EA9B0E0" w14:textId="77777777" w:rsidR="000101DD" w:rsidRPr="002B6F86" w:rsidRDefault="000101DD" w:rsidP="00FE593D">
            <w:pPr>
              <w:spacing w:after="0"/>
              <w:rPr>
                <w:sz w:val="24"/>
                <w:szCs w:val="24"/>
                <w:lang w:val="en-US"/>
              </w:rPr>
            </w:pPr>
          </w:p>
        </w:tc>
      </w:tr>
      <w:tr w:rsidR="000101DD" w:rsidRPr="002B6F86" w14:paraId="0813D71C" w14:textId="77777777" w:rsidTr="00FE593D">
        <w:tc>
          <w:tcPr>
            <w:tcW w:w="1373" w:type="pct"/>
          </w:tcPr>
          <w:p w14:paraId="079D8E90" w14:textId="77777777" w:rsidR="000101DD" w:rsidRPr="002B6F86" w:rsidRDefault="000101DD" w:rsidP="00FE593D">
            <w:pPr>
              <w:spacing w:after="0"/>
              <w:rPr>
                <w:sz w:val="24"/>
                <w:szCs w:val="24"/>
                <w:lang w:val="en-US"/>
              </w:rPr>
            </w:pPr>
          </w:p>
        </w:tc>
        <w:tc>
          <w:tcPr>
            <w:tcW w:w="1874" w:type="pct"/>
          </w:tcPr>
          <w:p w14:paraId="4272E595" w14:textId="77777777" w:rsidR="000101DD" w:rsidRPr="002B6F86" w:rsidRDefault="000101DD" w:rsidP="00FE593D">
            <w:pPr>
              <w:spacing w:after="0"/>
              <w:rPr>
                <w:sz w:val="24"/>
                <w:szCs w:val="24"/>
                <w:lang w:val="en-US"/>
              </w:rPr>
            </w:pPr>
          </w:p>
        </w:tc>
        <w:tc>
          <w:tcPr>
            <w:tcW w:w="1753" w:type="pct"/>
          </w:tcPr>
          <w:p w14:paraId="4CDE529B" w14:textId="77777777" w:rsidR="000101DD" w:rsidRPr="002B6F86" w:rsidRDefault="000101DD" w:rsidP="00FE593D">
            <w:pPr>
              <w:spacing w:after="0"/>
              <w:rPr>
                <w:sz w:val="24"/>
                <w:szCs w:val="24"/>
                <w:lang w:val="en-US"/>
              </w:rPr>
            </w:pPr>
          </w:p>
        </w:tc>
      </w:tr>
      <w:tr w:rsidR="000101DD" w:rsidRPr="002B6F86" w14:paraId="2FA1C0E8" w14:textId="77777777" w:rsidTr="00FE593D">
        <w:tc>
          <w:tcPr>
            <w:tcW w:w="1373" w:type="pct"/>
          </w:tcPr>
          <w:p w14:paraId="7C2FF5A1" w14:textId="77777777" w:rsidR="000101DD" w:rsidRPr="002B6F86" w:rsidRDefault="000101DD" w:rsidP="00FE593D">
            <w:pPr>
              <w:spacing w:after="0"/>
              <w:rPr>
                <w:sz w:val="24"/>
                <w:szCs w:val="24"/>
                <w:lang w:val="en-US"/>
              </w:rPr>
            </w:pPr>
          </w:p>
        </w:tc>
        <w:tc>
          <w:tcPr>
            <w:tcW w:w="1874" w:type="pct"/>
          </w:tcPr>
          <w:p w14:paraId="56EF24FD" w14:textId="77777777" w:rsidR="000101DD" w:rsidRPr="002B6F86" w:rsidRDefault="000101DD" w:rsidP="00FE593D">
            <w:pPr>
              <w:spacing w:after="0"/>
              <w:rPr>
                <w:sz w:val="24"/>
                <w:szCs w:val="24"/>
                <w:lang w:val="en-US"/>
              </w:rPr>
            </w:pPr>
          </w:p>
        </w:tc>
        <w:tc>
          <w:tcPr>
            <w:tcW w:w="1753" w:type="pct"/>
          </w:tcPr>
          <w:p w14:paraId="2F6ACF5C" w14:textId="77777777" w:rsidR="000101DD" w:rsidRPr="002B6F86" w:rsidRDefault="000101DD" w:rsidP="00FE593D">
            <w:pPr>
              <w:spacing w:after="0"/>
              <w:rPr>
                <w:sz w:val="24"/>
                <w:szCs w:val="24"/>
                <w:lang w:val="en-US"/>
              </w:rPr>
            </w:pPr>
          </w:p>
        </w:tc>
      </w:tr>
      <w:tr w:rsidR="000101DD" w:rsidRPr="002B6F86" w14:paraId="71796C3B" w14:textId="77777777" w:rsidTr="00FE593D">
        <w:tc>
          <w:tcPr>
            <w:tcW w:w="1373" w:type="pct"/>
          </w:tcPr>
          <w:p w14:paraId="6B725EDE" w14:textId="77777777" w:rsidR="000101DD" w:rsidRPr="002B6F86" w:rsidRDefault="000101DD" w:rsidP="00FE593D">
            <w:pPr>
              <w:spacing w:after="0"/>
              <w:rPr>
                <w:sz w:val="24"/>
                <w:szCs w:val="24"/>
                <w:lang w:val="en-US"/>
              </w:rPr>
            </w:pPr>
          </w:p>
        </w:tc>
        <w:tc>
          <w:tcPr>
            <w:tcW w:w="1874" w:type="pct"/>
          </w:tcPr>
          <w:p w14:paraId="1DAE5BA5" w14:textId="77777777" w:rsidR="000101DD" w:rsidRPr="002B6F86" w:rsidRDefault="000101DD" w:rsidP="00FE593D">
            <w:pPr>
              <w:spacing w:after="0"/>
              <w:rPr>
                <w:sz w:val="24"/>
                <w:szCs w:val="24"/>
                <w:lang w:val="en-US"/>
              </w:rPr>
            </w:pPr>
          </w:p>
        </w:tc>
        <w:tc>
          <w:tcPr>
            <w:tcW w:w="1753" w:type="pct"/>
          </w:tcPr>
          <w:p w14:paraId="44FE791F" w14:textId="77777777" w:rsidR="000101DD" w:rsidRPr="002B6F86" w:rsidRDefault="000101DD" w:rsidP="00FE593D">
            <w:pPr>
              <w:spacing w:after="0"/>
              <w:rPr>
                <w:sz w:val="24"/>
                <w:szCs w:val="24"/>
                <w:lang w:val="en-US"/>
              </w:rPr>
            </w:pPr>
          </w:p>
        </w:tc>
      </w:tr>
      <w:tr w:rsidR="000101DD" w:rsidRPr="002B6F86" w14:paraId="58C0A212" w14:textId="77777777" w:rsidTr="00FE593D">
        <w:tc>
          <w:tcPr>
            <w:tcW w:w="1373" w:type="pct"/>
          </w:tcPr>
          <w:p w14:paraId="5A3A08B2" w14:textId="77777777" w:rsidR="000101DD" w:rsidRPr="002B6F86" w:rsidRDefault="000101DD" w:rsidP="00FE593D">
            <w:pPr>
              <w:spacing w:after="0"/>
              <w:rPr>
                <w:sz w:val="24"/>
                <w:szCs w:val="24"/>
                <w:lang w:val="en-US"/>
              </w:rPr>
            </w:pPr>
          </w:p>
        </w:tc>
        <w:tc>
          <w:tcPr>
            <w:tcW w:w="1874" w:type="pct"/>
          </w:tcPr>
          <w:p w14:paraId="7F6C78D7" w14:textId="77777777" w:rsidR="000101DD" w:rsidRPr="002B6F86" w:rsidRDefault="000101DD" w:rsidP="00FE593D">
            <w:pPr>
              <w:spacing w:after="0"/>
              <w:rPr>
                <w:sz w:val="24"/>
                <w:szCs w:val="24"/>
                <w:lang w:val="en-US"/>
              </w:rPr>
            </w:pPr>
          </w:p>
        </w:tc>
        <w:tc>
          <w:tcPr>
            <w:tcW w:w="1753" w:type="pct"/>
          </w:tcPr>
          <w:p w14:paraId="7F64CAAF" w14:textId="77777777" w:rsidR="000101DD" w:rsidRPr="002B6F86" w:rsidRDefault="000101DD" w:rsidP="00FE593D">
            <w:pPr>
              <w:spacing w:after="0"/>
              <w:rPr>
                <w:sz w:val="24"/>
                <w:szCs w:val="24"/>
                <w:lang w:val="en-US"/>
              </w:rPr>
            </w:pPr>
          </w:p>
        </w:tc>
      </w:tr>
      <w:tr w:rsidR="000101DD" w:rsidRPr="002B6F86" w14:paraId="48B9481A" w14:textId="77777777" w:rsidTr="00FE593D">
        <w:tc>
          <w:tcPr>
            <w:tcW w:w="1373" w:type="pct"/>
          </w:tcPr>
          <w:p w14:paraId="7116682C" w14:textId="77777777" w:rsidR="000101DD" w:rsidRPr="002B6F86" w:rsidRDefault="000101DD" w:rsidP="00FE593D">
            <w:pPr>
              <w:spacing w:after="0"/>
              <w:rPr>
                <w:sz w:val="24"/>
                <w:szCs w:val="24"/>
                <w:lang w:val="en-US"/>
              </w:rPr>
            </w:pPr>
          </w:p>
        </w:tc>
        <w:tc>
          <w:tcPr>
            <w:tcW w:w="1874" w:type="pct"/>
          </w:tcPr>
          <w:p w14:paraId="03A765CF" w14:textId="77777777" w:rsidR="000101DD" w:rsidRPr="002B6F86" w:rsidRDefault="000101DD" w:rsidP="00FE593D">
            <w:pPr>
              <w:spacing w:after="0"/>
              <w:rPr>
                <w:sz w:val="24"/>
                <w:szCs w:val="24"/>
                <w:lang w:val="en-US"/>
              </w:rPr>
            </w:pPr>
          </w:p>
        </w:tc>
        <w:tc>
          <w:tcPr>
            <w:tcW w:w="1753" w:type="pct"/>
          </w:tcPr>
          <w:p w14:paraId="47F9798F" w14:textId="77777777" w:rsidR="000101DD" w:rsidRPr="002B6F86" w:rsidRDefault="000101DD" w:rsidP="00FE593D">
            <w:pPr>
              <w:spacing w:after="0"/>
              <w:rPr>
                <w:sz w:val="24"/>
                <w:szCs w:val="24"/>
                <w:lang w:val="en-US"/>
              </w:rPr>
            </w:pPr>
          </w:p>
        </w:tc>
      </w:tr>
      <w:tr w:rsidR="000101DD" w:rsidRPr="002B6F86" w14:paraId="5E233E54" w14:textId="77777777" w:rsidTr="00FE593D">
        <w:tc>
          <w:tcPr>
            <w:tcW w:w="1373" w:type="pct"/>
          </w:tcPr>
          <w:p w14:paraId="070FEF88" w14:textId="77777777" w:rsidR="000101DD" w:rsidRPr="002B6F86" w:rsidRDefault="000101DD" w:rsidP="00FE593D">
            <w:pPr>
              <w:spacing w:after="0"/>
              <w:rPr>
                <w:sz w:val="24"/>
                <w:szCs w:val="24"/>
                <w:lang w:val="en-US"/>
              </w:rPr>
            </w:pPr>
          </w:p>
        </w:tc>
        <w:tc>
          <w:tcPr>
            <w:tcW w:w="1874" w:type="pct"/>
          </w:tcPr>
          <w:p w14:paraId="0964DEF8" w14:textId="77777777" w:rsidR="000101DD" w:rsidRPr="002B6F86" w:rsidRDefault="000101DD" w:rsidP="00FE593D">
            <w:pPr>
              <w:spacing w:after="0"/>
              <w:rPr>
                <w:sz w:val="24"/>
                <w:szCs w:val="24"/>
                <w:lang w:val="en-US"/>
              </w:rPr>
            </w:pPr>
          </w:p>
        </w:tc>
        <w:tc>
          <w:tcPr>
            <w:tcW w:w="1753" w:type="pct"/>
          </w:tcPr>
          <w:p w14:paraId="7DCA8A29" w14:textId="77777777" w:rsidR="000101DD" w:rsidRPr="002B6F86" w:rsidRDefault="000101DD" w:rsidP="00FE593D">
            <w:pPr>
              <w:spacing w:after="0"/>
              <w:rPr>
                <w:sz w:val="24"/>
                <w:szCs w:val="24"/>
                <w:lang w:val="en-US"/>
              </w:rPr>
            </w:pPr>
          </w:p>
        </w:tc>
      </w:tr>
    </w:tbl>
    <w:p w14:paraId="091B0B0A" w14:textId="77777777" w:rsidR="000101DD" w:rsidRPr="002B6F86" w:rsidRDefault="000101DD" w:rsidP="000101DD">
      <w:pPr>
        <w:spacing w:after="0"/>
        <w:rPr>
          <w:sz w:val="24"/>
          <w:szCs w:val="24"/>
          <w:lang w:val="en-US"/>
        </w:rPr>
      </w:pPr>
    </w:p>
    <w:p w14:paraId="6D832F09" w14:textId="77777777" w:rsidR="000101DD" w:rsidRPr="002B6F86" w:rsidRDefault="000101DD" w:rsidP="000101DD">
      <w:pPr>
        <w:spacing w:after="0"/>
        <w:rPr>
          <w:sz w:val="24"/>
          <w:lang w:val="en-GB"/>
        </w:rPr>
      </w:pPr>
      <w:r w:rsidRPr="002B6F86">
        <w:rPr>
          <w:sz w:val="24"/>
          <w:lang w:val="en-GB"/>
        </w:rPr>
        <w:t xml:space="preserve">Date: </w:t>
      </w:r>
    </w:p>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p>
    <w:p w14:paraId="0EC11DB5"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2" w:name="_Toc456078776"/>
      <w:bookmarkStart w:id="23" w:name="_Toc456087231"/>
      <w:bookmarkStart w:id="24" w:name="_Toc500093064"/>
      <w:bookmarkStart w:id="25"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2"/>
      <w:bookmarkEnd w:id="23"/>
      <w:bookmarkEnd w:id="24"/>
      <w:bookmarkEnd w:id="25"/>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6" w:name="_Toc456078777"/>
      <w:bookmarkStart w:id="27" w:name="_Toc456087232"/>
      <w:bookmarkStart w:id="28" w:name="_Toc500093065"/>
      <w:bookmarkStart w:id="29"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6"/>
      <w:bookmarkEnd w:id="27"/>
      <w:bookmarkEnd w:id="28"/>
      <w:bookmarkEnd w:id="29"/>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ListParagraph"/>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0" w:name="_Toc456078778"/>
      <w:bookmarkStart w:id="31" w:name="_Toc456087233"/>
      <w:bookmarkStart w:id="32" w:name="_Toc500093066"/>
      <w:bookmarkStart w:id="33" w:name="_Toc500162368"/>
      <w:r w:rsidRPr="002B6F86">
        <w:rPr>
          <w:rFonts w:ascii="Gill Sans MT" w:eastAsia="MS Gothic" w:hAnsi="Gill Sans MT" w:cs="Arial"/>
          <w:b/>
          <w:color w:val="4F81BD"/>
          <w:sz w:val="24"/>
          <w:szCs w:val="24"/>
          <w:lang w:val="en-US" w:eastAsia="en-US"/>
        </w:rPr>
        <w:lastRenderedPageBreak/>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30"/>
      <w:bookmarkEnd w:id="31"/>
      <w:bookmarkEnd w:id="32"/>
      <w:bookmarkEnd w:id="33"/>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4" w:name="_Toc456078779"/>
      <w:bookmarkStart w:id="35" w:name="_Toc456087234"/>
      <w:bookmarkStart w:id="36" w:name="_Toc500093067"/>
      <w:bookmarkStart w:id="37"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4"/>
      <w:bookmarkEnd w:id="35"/>
      <w:bookmarkEnd w:id="36"/>
      <w:bookmarkEnd w:id="37"/>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ListParagraph"/>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ListParagraph"/>
              <w:ind w:left="357"/>
              <w:contextualSpacing w:val="0"/>
              <w:rPr>
                <w:rFonts w:ascii="Gill Sans MT" w:hAnsi="Gill Sans MT"/>
                <w:sz w:val="24"/>
                <w:szCs w:val="24"/>
                <w:lang w:val="en-US"/>
              </w:rPr>
            </w:pPr>
            <w:r w:rsidRPr="00455D63">
              <w:rPr>
                <w:rFonts w:ascii="Gill Sans MT" w:hAnsi="Gill Sans MT"/>
                <w:sz w:val="24"/>
                <w:szCs w:val="24"/>
                <w:lang w:val="en-US"/>
              </w:rPr>
              <w:lastRenderedPageBreak/>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ListParagraph"/>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behaviour.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ListParagraph"/>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programmes,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sz w:val="24"/>
          <w:szCs w:val="24"/>
          <w:lang w:val="en-GB" w:eastAsia="it-IT"/>
        </w:rPr>
      </w:pPr>
      <w:bookmarkStart w:id="38" w:name="_Toc456078780"/>
      <w:bookmarkStart w:id="39" w:name="_Toc456087235"/>
      <w:bookmarkStart w:id="40" w:name="_Toc500093068"/>
      <w:bookmarkStart w:id="41"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38"/>
      <w:bookmarkEnd w:id="39"/>
      <w:bookmarkEnd w:id="40"/>
      <w:bookmarkEnd w:id="41"/>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feedback, which</w:t>
            </w:r>
            <w:r w:rsidRPr="002B6F86">
              <w:rPr>
                <w:rStyle w:val="hps"/>
                <w:i/>
                <w:sz w:val="24"/>
                <w:szCs w:val="24"/>
                <w:lang w:val="en-US"/>
              </w:rPr>
              <w:t xml:space="preserve"> could be relevant to the Consortium.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8"/>
      <w:footerReference w:type="default" r:id="rId9"/>
      <w:footerReference w:type="first" r:id="rId10"/>
      <w:pgSz w:w="11906" w:h="16838"/>
      <w:pgMar w:top="720" w:right="720" w:bottom="720" w:left="720" w:header="708" w:footer="283" w:gutter="0"/>
      <w:pgNumType w:start="4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3A118" w16cid:durableId="2044AE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D15BA" w14:textId="77777777" w:rsidR="00796D69" w:rsidRDefault="00796D69" w:rsidP="001A1C67">
      <w:pPr>
        <w:spacing w:after="0"/>
      </w:pPr>
      <w:r>
        <w:separator/>
      </w:r>
    </w:p>
  </w:endnote>
  <w:endnote w:type="continuationSeparator" w:id="0">
    <w:p w14:paraId="27302B20" w14:textId="77777777" w:rsidR="00796D69" w:rsidRDefault="00796D69"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Bahnschrift Ligh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de-CH" w:eastAsia="de-CH"/>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15BB3FA"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OXgQIAABE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" stroked="f">
                  <v:textbox>
                    <w:txbxContent>
                      <w:p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7778E564" w:rsidR="004D139D" w:rsidRDefault="005F0DEB" w:rsidP="004D139D">
        <w:pPr>
          <w:pStyle w:val="Footer"/>
          <w:jc w:val="right"/>
        </w:pPr>
        <w:r>
          <w:fldChar w:fldCharType="begin"/>
        </w:r>
        <w:r w:rsidR="004D139D">
          <w:instrText>PAGE   \* MERGEFORMAT</w:instrText>
        </w:r>
        <w:r>
          <w:fldChar w:fldCharType="separate"/>
        </w:r>
        <w:r w:rsidR="00C90645">
          <w:rPr>
            <w:noProof/>
          </w:rPr>
          <w:t>49</w:t>
        </w:r>
        <w:r>
          <w:fldChar w:fldCharType="end"/>
        </w:r>
      </w:p>
    </w:sdtContent>
  </w:sdt>
  <w:p w14:paraId="22BCFD1B" w14:textId="77777777" w:rsidR="004D139D" w:rsidRPr="00A42C96" w:rsidRDefault="004D139D" w:rsidP="004D139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C90645" w:rsidP="004D139D">
        <w:pPr>
          <w:pStyle w:val="Footer"/>
          <w:jc w:val="right"/>
        </w:pPr>
      </w:p>
    </w:sdtContent>
  </w:sdt>
  <w:p w14:paraId="75857A76" w14:textId="77777777" w:rsidR="004D139D" w:rsidRPr="00A42C96" w:rsidRDefault="004D139D" w:rsidP="004D139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B0B8D" w14:textId="77777777" w:rsidR="00796D69" w:rsidRDefault="00796D69" w:rsidP="001A1C67">
      <w:pPr>
        <w:spacing w:after="0"/>
      </w:pPr>
      <w:r>
        <w:separator/>
      </w:r>
    </w:p>
  </w:footnote>
  <w:footnote w:type="continuationSeparator" w:id="0">
    <w:p w14:paraId="10C4B787" w14:textId="77777777" w:rsidR="00796D69" w:rsidRDefault="00796D69"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2219" w14:textId="77777777" w:rsidR="00436E9C" w:rsidRDefault="00436E9C">
    <w:pPr>
      <w:pStyle w:val="Header"/>
    </w:pPr>
    <w:r w:rsidRPr="005153E2">
      <w:rPr>
        <w:noProof/>
        <w:lang w:val="de-CH" w:eastAsia="de-CH"/>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15:restartNumberingAfterBreak="0">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79"/>
    <w:rsid w:val="0000010D"/>
    <w:rsid w:val="00006EC7"/>
    <w:rsid w:val="000101DD"/>
    <w:rsid w:val="000121EB"/>
    <w:rsid w:val="00017648"/>
    <w:rsid w:val="00021171"/>
    <w:rsid w:val="00023D80"/>
    <w:rsid w:val="000252CB"/>
    <w:rsid w:val="000328D3"/>
    <w:rsid w:val="000359FD"/>
    <w:rsid w:val="000401C4"/>
    <w:rsid w:val="000433E9"/>
    <w:rsid w:val="00044960"/>
    <w:rsid w:val="000452FA"/>
    <w:rsid w:val="0007693A"/>
    <w:rsid w:val="00084829"/>
    <w:rsid w:val="00087186"/>
    <w:rsid w:val="00090778"/>
    <w:rsid w:val="00091D7C"/>
    <w:rsid w:val="00093CC7"/>
    <w:rsid w:val="0009476B"/>
    <w:rsid w:val="000947DB"/>
    <w:rsid w:val="00094E92"/>
    <w:rsid w:val="00094EB4"/>
    <w:rsid w:val="00097490"/>
    <w:rsid w:val="000A564B"/>
    <w:rsid w:val="000D2D17"/>
    <w:rsid w:val="000D2D58"/>
    <w:rsid w:val="000D48BD"/>
    <w:rsid w:val="000D49B2"/>
    <w:rsid w:val="000E1BFF"/>
    <w:rsid w:val="00103121"/>
    <w:rsid w:val="00127DD5"/>
    <w:rsid w:val="001310BF"/>
    <w:rsid w:val="00134038"/>
    <w:rsid w:val="0013453C"/>
    <w:rsid w:val="00140DFD"/>
    <w:rsid w:val="001456C1"/>
    <w:rsid w:val="0014615D"/>
    <w:rsid w:val="00154C3F"/>
    <w:rsid w:val="00154E10"/>
    <w:rsid w:val="00161238"/>
    <w:rsid w:val="00164ABB"/>
    <w:rsid w:val="00164C01"/>
    <w:rsid w:val="001679F0"/>
    <w:rsid w:val="0017263B"/>
    <w:rsid w:val="00173068"/>
    <w:rsid w:val="00177DA0"/>
    <w:rsid w:val="001839F4"/>
    <w:rsid w:val="001970A0"/>
    <w:rsid w:val="001A12BA"/>
    <w:rsid w:val="001A1C67"/>
    <w:rsid w:val="001A6AFB"/>
    <w:rsid w:val="001B73EE"/>
    <w:rsid w:val="001C210E"/>
    <w:rsid w:val="001C216C"/>
    <w:rsid w:val="001D0FBC"/>
    <w:rsid w:val="001D5495"/>
    <w:rsid w:val="001E4B38"/>
    <w:rsid w:val="001E68FE"/>
    <w:rsid w:val="001F14CC"/>
    <w:rsid w:val="00200DD1"/>
    <w:rsid w:val="00202500"/>
    <w:rsid w:val="002130AA"/>
    <w:rsid w:val="0021403A"/>
    <w:rsid w:val="00217BE0"/>
    <w:rsid w:val="00227F33"/>
    <w:rsid w:val="00230630"/>
    <w:rsid w:val="002339F4"/>
    <w:rsid w:val="00256A98"/>
    <w:rsid w:val="0026224A"/>
    <w:rsid w:val="002624B6"/>
    <w:rsid w:val="00264175"/>
    <w:rsid w:val="00266AEC"/>
    <w:rsid w:val="00267576"/>
    <w:rsid w:val="00267E26"/>
    <w:rsid w:val="002718E6"/>
    <w:rsid w:val="00276089"/>
    <w:rsid w:val="00287AD8"/>
    <w:rsid w:val="002A0E58"/>
    <w:rsid w:val="002B3B31"/>
    <w:rsid w:val="002B5DCF"/>
    <w:rsid w:val="002B77CE"/>
    <w:rsid w:val="002C0391"/>
    <w:rsid w:val="002C164A"/>
    <w:rsid w:val="002C3745"/>
    <w:rsid w:val="002C3DB3"/>
    <w:rsid w:val="002C4553"/>
    <w:rsid w:val="002C6B77"/>
    <w:rsid w:val="002C7962"/>
    <w:rsid w:val="002C7C5C"/>
    <w:rsid w:val="002D1F44"/>
    <w:rsid w:val="002E1ABF"/>
    <w:rsid w:val="002E36EB"/>
    <w:rsid w:val="002E588E"/>
    <w:rsid w:val="002F02C3"/>
    <w:rsid w:val="002F36AC"/>
    <w:rsid w:val="0030122F"/>
    <w:rsid w:val="00303656"/>
    <w:rsid w:val="00304C04"/>
    <w:rsid w:val="00311A20"/>
    <w:rsid w:val="003146A6"/>
    <w:rsid w:val="00314E71"/>
    <w:rsid w:val="00321351"/>
    <w:rsid w:val="00323CFD"/>
    <w:rsid w:val="0032411E"/>
    <w:rsid w:val="003430BF"/>
    <w:rsid w:val="003454B1"/>
    <w:rsid w:val="003527A0"/>
    <w:rsid w:val="003545C9"/>
    <w:rsid w:val="00360F79"/>
    <w:rsid w:val="00371568"/>
    <w:rsid w:val="00380968"/>
    <w:rsid w:val="00386D0E"/>
    <w:rsid w:val="00391969"/>
    <w:rsid w:val="003B1035"/>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6E9C"/>
    <w:rsid w:val="00440B68"/>
    <w:rsid w:val="00445542"/>
    <w:rsid w:val="004456C7"/>
    <w:rsid w:val="004469AE"/>
    <w:rsid w:val="0047033E"/>
    <w:rsid w:val="004853D1"/>
    <w:rsid w:val="004903DB"/>
    <w:rsid w:val="00493A3D"/>
    <w:rsid w:val="004956A4"/>
    <w:rsid w:val="004A47EF"/>
    <w:rsid w:val="004C0647"/>
    <w:rsid w:val="004C57F8"/>
    <w:rsid w:val="004D139D"/>
    <w:rsid w:val="004D16D4"/>
    <w:rsid w:val="004D6CE1"/>
    <w:rsid w:val="004E56D5"/>
    <w:rsid w:val="004E5FF0"/>
    <w:rsid w:val="004F3BAD"/>
    <w:rsid w:val="004F4B86"/>
    <w:rsid w:val="00506B38"/>
    <w:rsid w:val="0053253E"/>
    <w:rsid w:val="00533B6B"/>
    <w:rsid w:val="00534B03"/>
    <w:rsid w:val="005353AD"/>
    <w:rsid w:val="00537E59"/>
    <w:rsid w:val="00542B49"/>
    <w:rsid w:val="00550B32"/>
    <w:rsid w:val="005606F1"/>
    <w:rsid w:val="005651C3"/>
    <w:rsid w:val="00567382"/>
    <w:rsid w:val="005740BD"/>
    <w:rsid w:val="00575685"/>
    <w:rsid w:val="005758F7"/>
    <w:rsid w:val="00576C6F"/>
    <w:rsid w:val="00577DBF"/>
    <w:rsid w:val="0058102A"/>
    <w:rsid w:val="005813A5"/>
    <w:rsid w:val="0058427A"/>
    <w:rsid w:val="00592F5A"/>
    <w:rsid w:val="00596434"/>
    <w:rsid w:val="005A0CDA"/>
    <w:rsid w:val="005A122D"/>
    <w:rsid w:val="005C089B"/>
    <w:rsid w:val="005C1364"/>
    <w:rsid w:val="005C1625"/>
    <w:rsid w:val="005C5F4F"/>
    <w:rsid w:val="005C67BE"/>
    <w:rsid w:val="005E07DD"/>
    <w:rsid w:val="005E7B58"/>
    <w:rsid w:val="005F0DEB"/>
    <w:rsid w:val="0060040C"/>
    <w:rsid w:val="006012D1"/>
    <w:rsid w:val="006135A6"/>
    <w:rsid w:val="0061713E"/>
    <w:rsid w:val="00624477"/>
    <w:rsid w:val="006244D1"/>
    <w:rsid w:val="0063280B"/>
    <w:rsid w:val="00665022"/>
    <w:rsid w:val="00667072"/>
    <w:rsid w:val="006677C5"/>
    <w:rsid w:val="0068144F"/>
    <w:rsid w:val="00682D16"/>
    <w:rsid w:val="006A1A04"/>
    <w:rsid w:val="006A3014"/>
    <w:rsid w:val="006A40EA"/>
    <w:rsid w:val="006A7D15"/>
    <w:rsid w:val="006B0346"/>
    <w:rsid w:val="006C338A"/>
    <w:rsid w:val="006C58B4"/>
    <w:rsid w:val="006D2DA0"/>
    <w:rsid w:val="006D353F"/>
    <w:rsid w:val="006E0864"/>
    <w:rsid w:val="006F345C"/>
    <w:rsid w:val="006F3EBE"/>
    <w:rsid w:val="0070346B"/>
    <w:rsid w:val="007049DB"/>
    <w:rsid w:val="00705B5C"/>
    <w:rsid w:val="00707B1F"/>
    <w:rsid w:val="0071073C"/>
    <w:rsid w:val="007112E3"/>
    <w:rsid w:val="00713AB2"/>
    <w:rsid w:val="00722065"/>
    <w:rsid w:val="00725C0D"/>
    <w:rsid w:val="007319F2"/>
    <w:rsid w:val="00732319"/>
    <w:rsid w:val="00735734"/>
    <w:rsid w:val="00735D4A"/>
    <w:rsid w:val="0073642C"/>
    <w:rsid w:val="007476EF"/>
    <w:rsid w:val="00747715"/>
    <w:rsid w:val="00757A68"/>
    <w:rsid w:val="007603BD"/>
    <w:rsid w:val="00764AA0"/>
    <w:rsid w:val="007742EA"/>
    <w:rsid w:val="0077742E"/>
    <w:rsid w:val="00786C22"/>
    <w:rsid w:val="00792518"/>
    <w:rsid w:val="00794835"/>
    <w:rsid w:val="00796718"/>
    <w:rsid w:val="00796D69"/>
    <w:rsid w:val="007A18C2"/>
    <w:rsid w:val="007B32E9"/>
    <w:rsid w:val="007C631B"/>
    <w:rsid w:val="007D2326"/>
    <w:rsid w:val="007E3562"/>
    <w:rsid w:val="007E3B03"/>
    <w:rsid w:val="007E5170"/>
    <w:rsid w:val="007E58CC"/>
    <w:rsid w:val="008132EE"/>
    <w:rsid w:val="008203CF"/>
    <w:rsid w:val="008274E3"/>
    <w:rsid w:val="00834E91"/>
    <w:rsid w:val="00836578"/>
    <w:rsid w:val="00852B0E"/>
    <w:rsid w:val="00855A73"/>
    <w:rsid w:val="0086003D"/>
    <w:rsid w:val="00870BFF"/>
    <w:rsid w:val="00873D1E"/>
    <w:rsid w:val="00873FD0"/>
    <w:rsid w:val="008855DC"/>
    <w:rsid w:val="00891BCF"/>
    <w:rsid w:val="0089421F"/>
    <w:rsid w:val="008A3227"/>
    <w:rsid w:val="008A651A"/>
    <w:rsid w:val="008A6DE2"/>
    <w:rsid w:val="008B1C09"/>
    <w:rsid w:val="008D46E3"/>
    <w:rsid w:val="008D474C"/>
    <w:rsid w:val="008E04D8"/>
    <w:rsid w:val="008E11C0"/>
    <w:rsid w:val="008F2DF0"/>
    <w:rsid w:val="008F641F"/>
    <w:rsid w:val="009024FC"/>
    <w:rsid w:val="00907A2D"/>
    <w:rsid w:val="00913A59"/>
    <w:rsid w:val="00914228"/>
    <w:rsid w:val="00922F21"/>
    <w:rsid w:val="00926B06"/>
    <w:rsid w:val="0093541E"/>
    <w:rsid w:val="00935526"/>
    <w:rsid w:val="00936890"/>
    <w:rsid w:val="00936A6D"/>
    <w:rsid w:val="009415F5"/>
    <w:rsid w:val="009474B1"/>
    <w:rsid w:val="00950BF3"/>
    <w:rsid w:val="00956334"/>
    <w:rsid w:val="00956949"/>
    <w:rsid w:val="009571CA"/>
    <w:rsid w:val="00962AB6"/>
    <w:rsid w:val="00964730"/>
    <w:rsid w:val="009649FA"/>
    <w:rsid w:val="00971F8F"/>
    <w:rsid w:val="00973A6D"/>
    <w:rsid w:val="00982A9F"/>
    <w:rsid w:val="00983889"/>
    <w:rsid w:val="0099150D"/>
    <w:rsid w:val="009A29F6"/>
    <w:rsid w:val="009B1C9E"/>
    <w:rsid w:val="009B361A"/>
    <w:rsid w:val="009C0835"/>
    <w:rsid w:val="009C2D10"/>
    <w:rsid w:val="009D026A"/>
    <w:rsid w:val="009D409C"/>
    <w:rsid w:val="009E737A"/>
    <w:rsid w:val="009E7DF7"/>
    <w:rsid w:val="009F1A11"/>
    <w:rsid w:val="009F3F19"/>
    <w:rsid w:val="00A11648"/>
    <w:rsid w:val="00A1231E"/>
    <w:rsid w:val="00A2192B"/>
    <w:rsid w:val="00A22133"/>
    <w:rsid w:val="00A241E7"/>
    <w:rsid w:val="00A2506B"/>
    <w:rsid w:val="00A449E2"/>
    <w:rsid w:val="00A459E5"/>
    <w:rsid w:val="00A564CB"/>
    <w:rsid w:val="00A60503"/>
    <w:rsid w:val="00A607F9"/>
    <w:rsid w:val="00A73B79"/>
    <w:rsid w:val="00A740CA"/>
    <w:rsid w:val="00A92743"/>
    <w:rsid w:val="00A97FCC"/>
    <w:rsid w:val="00AA5514"/>
    <w:rsid w:val="00AA6CA9"/>
    <w:rsid w:val="00AB0BF2"/>
    <w:rsid w:val="00AC6889"/>
    <w:rsid w:val="00AC7187"/>
    <w:rsid w:val="00AD063A"/>
    <w:rsid w:val="00AD2097"/>
    <w:rsid w:val="00AD2514"/>
    <w:rsid w:val="00AD465E"/>
    <w:rsid w:val="00AE1ED9"/>
    <w:rsid w:val="00AE652D"/>
    <w:rsid w:val="00AF40E3"/>
    <w:rsid w:val="00B02A56"/>
    <w:rsid w:val="00B14D79"/>
    <w:rsid w:val="00B154EA"/>
    <w:rsid w:val="00B25527"/>
    <w:rsid w:val="00B27089"/>
    <w:rsid w:val="00B44B8E"/>
    <w:rsid w:val="00B47242"/>
    <w:rsid w:val="00B54031"/>
    <w:rsid w:val="00B55847"/>
    <w:rsid w:val="00B55931"/>
    <w:rsid w:val="00B66572"/>
    <w:rsid w:val="00B71128"/>
    <w:rsid w:val="00B7402A"/>
    <w:rsid w:val="00B83CBD"/>
    <w:rsid w:val="00B8436D"/>
    <w:rsid w:val="00B87614"/>
    <w:rsid w:val="00B92FEB"/>
    <w:rsid w:val="00B932D3"/>
    <w:rsid w:val="00BA342A"/>
    <w:rsid w:val="00BA630C"/>
    <w:rsid w:val="00BC0565"/>
    <w:rsid w:val="00BC1548"/>
    <w:rsid w:val="00BC20B2"/>
    <w:rsid w:val="00BC3E39"/>
    <w:rsid w:val="00BC5FE2"/>
    <w:rsid w:val="00BD1A2A"/>
    <w:rsid w:val="00BE365D"/>
    <w:rsid w:val="00BF140D"/>
    <w:rsid w:val="00C05537"/>
    <w:rsid w:val="00C123CF"/>
    <w:rsid w:val="00C15C1F"/>
    <w:rsid w:val="00C20CEC"/>
    <w:rsid w:val="00C22B47"/>
    <w:rsid w:val="00C23CA7"/>
    <w:rsid w:val="00C24D5F"/>
    <w:rsid w:val="00C25AA8"/>
    <w:rsid w:val="00C31968"/>
    <w:rsid w:val="00C354B9"/>
    <w:rsid w:val="00C359EE"/>
    <w:rsid w:val="00C3620B"/>
    <w:rsid w:val="00C53C8F"/>
    <w:rsid w:val="00C56755"/>
    <w:rsid w:val="00C60601"/>
    <w:rsid w:val="00C63A58"/>
    <w:rsid w:val="00C642C0"/>
    <w:rsid w:val="00C66ACA"/>
    <w:rsid w:val="00C67E8A"/>
    <w:rsid w:val="00C83ED6"/>
    <w:rsid w:val="00C90645"/>
    <w:rsid w:val="00C94518"/>
    <w:rsid w:val="00C950F8"/>
    <w:rsid w:val="00C9744B"/>
    <w:rsid w:val="00CA3844"/>
    <w:rsid w:val="00CB3911"/>
    <w:rsid w:val="00CB7097"/>
    <w:rsid w:val="00CC2918"/>
    <w:rsid w:val="00CE099D"/>
    <w:rsid w:val="00CE0E5D"/>
    <w:rsid w:val="00CE6989"/>
    <w:rsid w:val="00CF3378"/>
    <w:rsid w:val="00CF77FE"/>
    <w:rsid w:val="00D2174E"/>
    <w:rsid w:val="00D337E5"/>
    <w:rsid w:val="00D339DD"/>
    <w:rsid w:val="00D34A65"/>
    <w:rsid w:val="00D35659"/>
    <w:rsid w:val="00D37746"/>
    <w:rsid w:val="00D47812"/>
    <w:rsid w:val="00D47AA5"/>
    <w:rsid w:val="00D5254A"/>
    <w:rsid w:val="00D5484C"/>
    <w:rsid w:val="00D61F9D"/>
    <w:rsid w:val="00D63F74"/>
    <w:rsid w:val="00D64283"/>
    <w:rsid w:val="00D67B33"/>
    <w:rsid w:val="00D7047C"/>
    <w:rsid w:val="00D7159A"/>
    <w:rsid w:val="00D75247"/>
    <w:rsid w:val="00D97841"/>
    <w:rsid w:val="00DA522B"/>
    <w:rsid w:val="00DB198C"/>
    <w:rsid w:val="00DC176A"/>
    <w:rsid w:val="00DC6E50"/>
    <w:rsid w:val="00DC72EA"/>
    <w:rsid w:val="00DC7828"/>
    <w:rsid w:val="00DD2C82"/>
    <w:rsid w:val="00DE0C00"/>
    <w:rsid w:val="00DE2C3B"/>
    <w:rsid w:val="00DE565B"/>
    <w:rsid w:val="00DE7C99"/>
    <w:rsid w:val="00E0603B"/>
    <w:rsid w:val="00E16AE9"/>
    <w:rsid w:val="00E17F10"/>
    <w:rsid w:val="00E25DFC"/>
    <w:rsid w:val="00E2609C"/>
    <w:rsid w:val="00E30B56"/>
    <w:rsid w:val="00E33727"/>
    <w:rsid w:val="00E433E1"/>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4855"/>
    <w:rsid w:val="00EC1B70"/>
    <w:rsid w:val="00EC3B3C"/>
    <w:rsid w:val="00ED7317"/>
    <w:rsid w:val="00EE3A6A"/>
    <w:rsid w:val="00EE5CD5"/>
    <w:rsid w:val="00EE658D"/>
    <w:rsid w:val="00F1519A"/>
    <w:rsid w:val="00F156D4"/>
    <w:rsid w:val="00F2113F"/>
    <w:rsid w:val="00F23A3A"/>
    <w:rsid w:val="00F24F21"/>
    <w:rsid w:val="00F305E0"/>
    <w:rsid w:val="00F30F75"/>
    <w:rsid w:val="00F356E0"/>
    <w:rsid w:val="00F41D94"/>
    <w:rsid w:val="00F42B6F"/>
    <w:rsid w:val="00F42D58"/>
    <w:rsid w:val="00F45061"/>
    <w:rsid w:val="00F507E7"/>
    <w:rsid w:val="00F56096"/>
    <w:rsid w:val="00F57D79"/>
    <w:rsid w:val="00F633FE"/>
    <w:rsid w:val="00F81D7C"/>
    <w:rsid w:val="00F8576C"/>
    <w:rsid w:val="00F95D51"/>
    <w:rsid w:val="00F9787E"/>
    <w:rsid w:val="00FA3649"/>
    <w:rsid w:val="00FA4178"/>
    <w:rsid w:val="00FA4C8E"/>
    <w:rsid w:val="00FA5CC7"/>
    <w:rsid w:val="00FA7888"/>
    <w:rsid w:val="00FB7C3B"/>
    <w:rsid w:val="00FC17CF"/>
    <w:rsid w:val="00FD17D2"/>
    <w:rsid w:val="00FD318E"/>
    <w:rsid w:val="00FD3B38"/>
    <w:rsid w:val="00FD425B"/>
    <w:rsid w:val="00FD7816"/>
    <w:rsid w:val="00FE0274"/>
    <w:rsid w:val="00FE502A"/>
    <w:rsid w:val="00FF31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46CDE1"/>
  <w15:docId w15:val="{F328B2D3-8612-49F3-9253-1BF4EB96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9B"/>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uiPriority w:val="99"/>
    <w:semiHidden/>
    <w:rsid w:val="004E5FF0"/>
    <w:rPr>
      <w:sz w:val="20"/>
      <w:szCs w:val="20"/>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EA4855"/>
    <w:pPr>
      <w:spacing w:after="100"/>
      <w:ind w:left="440"/>
    </w:pPr>
  </w:style>
  <w:style w:type="character" w:styleId="FollowedHyperlink">
    <w:name w:val="FollowedHyperlink"/>
    <w:basedOn w:val="DefaultParagraphFon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DefaultParagraphFont"/>
    <w:uiPriority w:val="99"/>
    <w:semiHidden/>
    <w:unhideWhenUsed/>
    <w:rsid w:val="00FA4C8E"/>
    <w:rPr>
      <w:color w:val="808080"/>
      <w:shd w:val="clear" w:color="auto" w:fill="E6E6E6"/>
    </w:rPr>
  </w:style>
  <w:style w:type="paragraph" w:customStyle="1" w:styleId="TextEcoInno">
    <w:name w:val="Text Eco Inno"/>
    <w:basedOn w:val="BodyText"/>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C3B3C"/>
    <w:pPr>
      <w:spacing w:line="276" w:lineRule="auto"/>
    </w:pPr>
    <w:rPr>
      <w:lang w:val="es-ES"/>
    </w:rPr>
  </w:style>
  <w:style w:type="character" w:customStyle="1" w:styleId="BodyTextChar">
    <w:name w:val="Body Text Char"/>
    <w:basedOn w:val="DefaultParagraphFont"/>
    <w:link w:val="BodyText"/>
    <w:uiPriority w:val="99"/>
    <w:semiHidden/>
    <w:rsid w:val="00EC3B3C"/>
  </w:style>
  <w:style w:type="character" w:customStyle="1" w:styleId="hps">
    <w:name w:val="hps"/>
    <w:basedOn w:val="DefaultParagraphFon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O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O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O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O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O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5143-93D6-4266-B3BD-9B7C6E03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2044</Words>
  <Characters>12882</Characters>
  <Application>Microsoft Office Word</Application>
  <DocSecurity>0</DocSecurity>
  <Lines>107</Lines>
  <Paragraphs>29</Paragraphs>
  <ScaleCrop>false</ScaleCrop>
  <HeadingPairs>
    <vt:vector size="8" baseType="variant">
      <vt:variant>
        <vt:lpstr>Title</vt:lpstr>
      </vt:variant>
      <vt:variant>
        <vt:i4>1</vt:i4>
      </vt:variant>
      <vt:variant>
        <vt:lpstr>Titre</vt:lpstr>
      </vt:variant>
      <vt:variant>
        <vt:i4>1</vt:i4>
      </vt:variant>
      <vt:variant>
        <vt:lpstr>Otsikko</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Schirmer, Mario</cp:lastModifiedBy>
  <cp:revision>8</cp:revision>
  <cp:lastPrinted>2021-04-04T14:55:00Z</cp:lastPrinted>
  <dcterms:created xsi:type="dcterms:W3CDTF">2021-03-27T12:26:00Z</dcterms:created>
  <dcterms:modified xsi:type="dcterms:W3CDTF">2021-04-05T10:14:00Z</dcterms:modified>
</cp:coreProperties>
</file>