
<file path=[Content_Types].xml><?xml version="1.0" encoding="utf-8"?>
<Types xmlns="http://schemas.openxmlformats.org/package/2006/content-types">
  <Default Extension="png" ContentType="image/png"/>
  <Override PartName="/word/charts/chart10.xml" ContentType="application/vnd.openxmlformats-officedocument.drawingml.chart+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D39" w:rsidRPr="003C1DE8" w:rsidRDefault="006F788F" w:rsidP="006F788F">
      <w:pPr>
        <w:jc w:val="center"/>
        <w:rPr>
          <w:rFonts w:ascii="Gill Sans MT" w:hAnsi="Gill Sans MT"/>
          <w:b/>
          <w:color w:val="0070C0"/>
          <w:sz w:val="28"/>
          <w:szCs w:val="28"/>
          <w:lang w:val="en-GB"/>
        </w:rPr>
      </w:pPr>
      <w:r w:rsidRPr="003C1DE8">
        <w:rPr>
          <w:rFonts w:ascii="Gill Sans MT" w:hAnsi="Gill Sans MT"/>
          <w:b/>
          <w:color w:val="0070C0"/>
          <w:sz w:val="28"/>
          <w:szCs w:val="28"/>
          <w:lang w:val="en-GB"/>
        </w:rPr>
        <w:t>WATERW</w:t>
      </w:r>
      <w:r w:rsidR="002F7D39" w:rsidRPr="003C1DE8">
        <w:rPr>
          <w:rFonts w:ascii="Gill Sans MT" w:hAnsi="Gill Sans MT"/>
          <w:b/>
          <w:color w:val="0070C0"/>
          <w:sz w:val="28"/>
          <w:szCs w:val="28"/>
          <w:lang w:val="en-GB"/>
        </w:rPr>
        <w:t>ORKS2014 ERA-NET COFUNDED CALL:</w:t>
      </w:r>
    </w:p>
    <w:p w:rsidR="006F788F" w:rsidRPr="003C1DE8" w:rsidRDefault="006F788F" w:rsidP="006F788F">
      <w:pPr>
        <w:jc w:val="center"/>
        <w:rPr>
          <w:rFonts w:ascii="Gill Sans MT" w:hAnsi="Gill Sans MT"/>
          <w:b/>
          <w:color w:val="0070C0"/>
          <w:sz w:val="28"/>
          <w:szCs w:val="28"/>
          <w:lang w:val="en-GB"/>
        </w:rPr>
      </w:pPr>
      <w:r w:rsidRPr="003C1DE8">
        <w:rPr>
          <w:rFonts w:ascii="Gill Sans MT" w:hAnsi="Gill Sans MT"/>
          <w:b/>
          <w:color w:val="0070C0"/>
          <w:sz w:val="28"/>
          <w:szCs w:val="28"/>
          <w:lang w:val="en-GB"/>
        </w:rPr>
        <w:t>16 Projects Recommended for Funding</w:t>
      </w:r>
    </w:p>
    <w:p w:rsidR="006F788F" w:rsidRPr="003C1DE8" w:rsidRDefault="006F788F" w:rsidP="006F788F">
      <w:pPr>
        <w:jc w:val="both"/>
        <w:rPr>
          <w:rFonts w:ascii="Gill Sans MT" w:hAnsi="Gill Sans MT"/>
          <w:lang w:val="en-GB"/>
        </w:rPr>
      </w:pPr>
    </w:p>
    <w:p w:rsidR="0041333F" w:rsidRPr="003C1DE8" w:rsidRDefault="0041333F" w:rsidP="0041333F">
      <w:pPr>
        <w:jc w:val="both"/>
        <w:rPr>
          <w:rFonts w:ascii="Gill Sans MT" w:hAnsi="Gill Sans MT"/>
          <w:lang w:val="en-US"/>
        </w:rPr>
      </w:pPr>
      <w:r w:rsidRPr="003C1DE8">
        <w:rPr>
          <w:rFonts w:ascii="Gill Sans MT" w:hAnsi="Gill Sans MT"/>
          <w:lang w:val="en-US"/>
        </w:rPr>
        <w:t>The aim of the WaterWorks2014 Cofunded Call is to enable transnational, collaborative research, development and innovation projects addressing questions relating to the water challenges faced by European society.</w:t>
      </w:r>
    </w:p>
    <w:p w:rsidR="00781A64" w:rsidRPr="003C1DE8" w:rsidRDefault="00297AE6" w:rsidP="0041333F">
      <w:pPr>
        <w:jc w:val="both"/>
        <w:rPr>
          <w:rFonts w:ascii="Gill Sans MT" w:hAnsi="Gill Sans MT"/>
          <w:lang w:val="en-GB"/>
        </w:rPr>
      </w:pPr>
      <w:r w:rsidRPr="003C1DE8">
        <w:rPr>
          <w:rFonts w:ascii="Gill Sans MT" w:hAnsi="Gill Sans MT"/>
          <w:lang w:val="en-US"/>
        </w:rPr>
        <w:t>The</w:t>
      </w:r>
      <w:r w:rsidR="0069088C" w:rsidRPr="003C1DE8">
        <w:rPr>
          <w:rFonts w:ascii="Gill Sans MT" w:hAnsi="Gill Sans MT"/>
          <w:lang w:val="en-US"/>
        </w:rPr>
        <w:t xml:space="preserve"> </w:t>
      </w:r>
      <w:r w:rsidR="0041333F" w:rsidRPr="003C1DE8">
        <w:rPr>
          <w:rFonts w:ascii="Gill Sans MT" w:hAnsi="Gill Sans MT"/>
          <w:lang w:val="en-US"/>
        </w:rPr>
        <w:t>call</w:t>
      </w:r>
      <w:r w:rsidR="00C63EE4">
        <w:rPr>
          <w:rFonts w:ascii="Gill Sans MT" w:hAnsi="Gill Sans MT"/>
          <w:lang w:val="en-US"/>
        </w:rPr>
        <w:t xml:space="preserve"> focuses</w:t>
      </w:r>
      <w:r w:rsidR="0069088C" w:rsidRPr="003C1DE8">
        <w:rPr>
          <w:rFonts w:ascii="Gill Sans MT" w:hAnsi="Gill Sans MT"/>
          <w:lang w:val="en-US"/>
        </w:rPr>
        <w:t xml:space="preserve"> on the theme “</w:t>
      </w:r>
      <w:r w:rsidR="00781A64" w:rsidRPr="003C1DE8">
        <w:rPr>
          <w:rFonts w:ascii="Gill Sans MT" w:hAnsi="Gill Sans MT"/>
          <w:lang w:val="en-GB"/>
        </w:rPr>
        <w:t xml:space="preserve">Research and Innovation for Developing Technological Solutions </w:t>
      </w:r>
      <w:r w:rsidR="0041333F" w:rsidRPr="003C1DE8">
        <w:rPr>
          <w:rFonts w:ascii="Gill Sans MT" w:hAnsi="Gill Sans MT"/>
          <w:lang w:val="en-GB"/>
        </w:rPr>
        <w:t>and Services for Water Systems”, a topic that partially covers the five priority themes described in the Strategic Research and Innovation Agenda (SRIA) of the Water</w:t>
      </w:r>
      <w:r w:rsidRPr="003C1DE8">
        <w:rPr>
          <w:rFonts w:ascii="Gill Sans MT" w:hAnsi="Gill Sans MT"/>
          <w:lang w:val="en-GB"/>
        </w:rPr>
        <w:t xml:space="preserve"> </w:t>
      </w:r>
      <w:r w:rsidR="0041333F" w:rsidRPr="003C1DE8">
        <w:rPr>
          <w:rFonts w:ascii="Gill Sans MT" w:hAnsi="Gill Sans MT"/>
          <w:lang w:val="en-GB"/>
        </w:rPr>
        <w:t>JPI (http://www.waterjpi.eu).</w:t>
      </w:r>
    </w:p>
    <w:p w:rsidR="005D7E46" w:rsidRDefault="006F788F" w:rsidP="00781A64">
      <w:pPr>
        <w:jc w:val="both"/>
        <w:rPr>
          <w:rFonts w:ascii="Gill Sans MT" w:hAnsi="Gill Sans MT"/>
          <w:lang w:val="en-US"/>
        </w:rPr>
      </w:pPr>
      <w:r w:rsidRPr="003C1DE8">
        <w:rPr>
          <w:rFonts w:ascii="Gill Sans MT" w:hAnsi="Gill Sans MT"/>
          <w:lang w:val="en-US"/>
        </w:rPr>
        <w:t>A total of 16 transnational collaborative research project</w:t>
      </w:r>
      <w:r w:rsidR="00781A64" w:rsidRPr="003C1DE8">
        <w:rPr>
          <w:rFonts w:ascii="Gill Sans MT" w:hAnsi="Gill Sans MT"/>
          <w:lang w:val="en-US"/>
        </w:rPr>
        <w:t xml:space="preserve">s </w:t>
      </w:r>
      <w:r w:rsidR="0069088C" w:rsidRPr="003C1DE8">
        <w:rPr>
          <w:rFonts w:ascii="Gill Sans MT" w:hAnsi="Gill Sans MT"/>
          <w:lang w:val="en-US"/>
        </w:rPr>
        <w:t>were</w:t>
      </w:r>
      <w:r w:rsidR="00781A64" w:rsidRPr="003C1DE8">
        <w:rPr>
          <w:rFonts w:ascii="Gill Sans MT" w:hAnsi="Gill Sans MT"/>
          <w:lang w:val="en-US"/>
        </w:rPr>
        <w:t xml:space="preserve"> </w:t>
      </w:r>
      <w:r w:rsidR="002643F1" w:rsidRPr="003C1DE8">
        <w:rPr>
          <w:rFonts w:ascii="Gill Sans MT" w:hAnsi="Gill Sans MT"/>
          <w:lang w:val="en-US"/>
        </w:rPr>
        <w:t xml:space="preserve">selected </w:t>
      </w:r>
      <w:r w:rsidR="00781A64" w:rsidRPr="003C1DE8">
        <w:rPr>
          <w:rFonts w:ascii="Gill Sans MT" w:hAnsi="Gill Sans MT"/>
          <w:lang w:val="en-US"/>
        </w:rPr>
        <w:t>for funding by the Call Steering Committee</w:t>
      </w:r>
      <w:r w:rsidR="00826F43" w:rsidRPr="003C1DE8">
        <w:rPr>
          <w:rFonts w:ascii="Gill Sans MT" w:hAnsi="Gill Sans MT"/>
          <w:lang w:val="en-US"/>
        </w:rPr>
        <w:t>:</w:t>
      </w:r>
    </w:p>
    <w:p w:rsidR="00C63EE4" w:rsidRPr="003C1DE8" w:rsidRDefault="00C63EE4" w:rsidP="00781A64">
      <w:pPr>
        <w:jc w:val="both"/>
        <w:rPr>
          <w:rFonts w:ascii="Gill Sans MT" w:hAnsi="Gill Sans MT"/>
          <w:lang w:val="en-US"/>
        </w:rPr>
      </w:pPr>
    </w:p>
    <w:tbl>
      <w:tblPr>
        <w:tblW w:w="9720" w:type="dxa"/>
        <w:jc w:val="center"/>
        <w:tblInd w:w="55" w:type="dxa"/>
        <w:tblCellMar>
          <w:left w:w="70" w:type="dxa"/>
          <w:right w:w="70" w:type="dxa"/>
        </w:tblCellMar>
        <w:tblLook w:val="04A0"/>
      </w:tblPr>
      <w:tblGrid>
        <w:gridCol w:w="1900"/>
        <w:gridCol w:w="2401"/>
        <w:gridCol w:w="740"/>
        <w:gridCol w:w="1736"/>
        <w:gridCol w:w="1823"/>
        <w:gridCol w:w="1120"/>
      </w:tblGrid>
      <w:tr w:rsidR="00826F43" w:rsidRPr="00826F43" w:rsidTr="00826F43">
        <w:trPr>
          <w:trHeight w:val="375"/>
          <w:jc w:val="center"/>
        </w:trPr>
        <w:tc>
          <w:tcPr>
            <w:tcW w:w="1900" w:type="dxa"/>
            <w:tcBorders>
              <w:top w:val="single" w:sz="8" w:space="0" w:color="0070C0"/>
              <w:left w:val="single" w:sz="8" w:space="0" w:color="0070C0"/>
              <w:bottom w:val="single" w:sz="8" w:space="0" w:color="0070C0"/>
              <w:right w:val="single" w:sz="8" w:space="0" w:color="0070C0"/>
            </w:tcBorders>
            <w:shd w:val="clear" w:color="000000" w:fill="B7DEE8"/>
            <w:noWrap/>
            <w:vAlign w:val="center"/>
            <w:hideMark/>
          </w:tcPr>
          <w:p w:rsidR="00826F43" w:rsidRPr="00826F43" w:rsidRDefault="00826F43" w:rsidP="00826F43">
            <w:pPr>
              <w:spacing w:after="0" w:line="240" w:lineRule="auto"/>
              <w:jc w:val="center"/>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Acronym</w:t>
            </w:r>
          </w:p>
        </w:tc>
        <w:tc>
          <w:tcPr>
            <w:tcW w:w="2401" w:type="dxa"/>
            <w:tcBorders>
              <w:top w:val="single" w:sz="8" w:space="0" w:color="0070C0"/>
              <w:left w:val="nil"/>
              <w:bottom w:val="single" w:sz="8" w:space="0" w:color="0070C0"/>
              <w:right w:val="single" w:sz="8" w:space="0" w:color="0070C0"/>
            </w:tcBorders>
            <w:shd w:val="clear" w:color="000000" w:fill="B7DEE8"/>
            <w:noWrap/>
            <w:vAlign w:val="center"/>
            <w:hideMark/>
          </w:tcPr>
          <w:p w:rsidR="00826F43" w:rsidRPr="00826F43" w:rsidRDefault="00826F43" w:rsidP="00826F43">
            <w:pPr>
              <w:spacing w:after="0" w:line="240" w:lineRule="auto"/>
              <w:jc w:val="center"/>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Title</w:t>
            </w:r>
          </w:p>
        </w:tc>
        <w:tc>
          <w:tcPr>
            <w:tcW w:w="740" w:type="dxa"/>
            <w:tcBorders>
              <w:top w:val="single" w:sz="8" w:space="0" w:color="0070C0"/>
              <w:left w:val="nil"/>
              <w:bottom w:val="single" w:sz="8" w:space="0" w:color="0070C0"/>
              <w:right w:val="single" w:sz="8" w:space="0" w:color="0070C0"/>
            </w:tcBorders>
            <w:shd w:val="clear" w:color="000000" w:fill="B7DEE8"/>
            <w:noWrap/>
            <w:vAlign w:val="center"/>
            <w:hideMark/>
          </w:tcPr>
          <w:p w:rsidR="00826F43" w:rsidRPr="00826F43" w:rsidRDefault="00826F43" w:rsidP="00826F43">
            <w:pPr>
              <w:spacing w:after="0" w:line="240" w:lineRule="auto"/>
              <w:jc w:val="center"/>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Duration</w:t>
            </w:r>
          </w:p>
        </w:tc>
        <w:tc>
          <w:tcPr>
            <w:tcW w:w="1736" w:type="dxa"/>
            <w:tcBorders>
              <w:top w:val="single" w:sz="8" w:space="0" w:color="0070C0"/>
              <w:left w:val="nil"/>
              <w:bottom w:val="single" w:sz="8" w:space="0" w:color="0070C0"/>
              <w:right w:val="single" w:sz="8" w:space="0" w:color="0070C0"/>
            </w:tcBorders>
            <w:shd w:val="clear" w:color="000000" w:fill="B7DEE8"/>
            <w:vAlign w:val="center"/>
            <w:hideMark/>
          </w:tcPr>
          <w:p w:rsidR="00826F43" w:rsidRPr="00826F43" w:rsidRDefault="00826F43" w:rsidP="00826F43">
            <w:pPr>
              <w:spacing w:after="0" w:line="240" w:lineRule="auto"/>
              <w:jc w:val="center"/>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Consortium Coordinator and PI's</w:t>
            </w:r>
          </w:p>
        </w:tc>
        <w:tc>
          <w:tcPr>
            <w:tcW w:w="1823" w:type="dxa"/>
            <w:tcBorders>
              <w:top w:val="single" w:sz="8" w:space="0" w:color="0070C0"/>
              <w:left w:val="nil"/>
              <w:bottom w:val="single" w:sz="8" w:space="0" w:color="0070C0"/>
              <w:right w:val="single" w:sz="8" w:space="0" w:color="0070C0"/>
            </w:tcBorders>
            <w:shd w:val="clear" w:color="000000" w:fill="B7DEE8"/>
            <w:vAlign w:val="center"/>
            <w:hideMark/>
          </w:tcPr>
          <w:p w:rsidR="00826F43" w:rsidRPr="00826F43" w:rsidRDefault="00826F43" w:rsidP="00826F43">
            <w:pPr>
              <w:spacing w:after="0" w:line="240" w:lineRule="auto"/>
              <w:jc w:val="center"/>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Organizations</w:t>
            </w:r>
          </w:p>
        </w:tc>
        <w:tc>
          <w:tcPr>
            <w:tcW w:w="1120" w:type="dxa"/>
            <w:tcBorders>
              <w:top w:val="single" w:sz="8" w:space="0" w:color="0070C0"/>
              <w:left w:val="nil"/>
              <w:bottom w:val="single" w:sz="8" w:space="0" w:color="0070C0"/>
              <w:right w:val="single" w:sz="8" w:space="0" w:color="0070C0"/>
            </w:tcBorders>
            <w:shd w:val="clear" w:color="000000" w:fill="B7DEE8"/>
            <w:noWrap/>
            <w:vAlign w:val="center"/>
            <w:hideMark/>
          </w:tcPr>
          <w:p w:rsidR="00826F43" w:rsidRPr="00826F43" w:rsidRDefault="00826F43" w:rsidP="00826F43">
            <w:pPr>
              <w:spacing w:after="0" w:line="240" w:lineRule="auto"/>
              <w:jc w:val="center"/>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Countries</w:t>
            </w:r>
          </w:p>
        </w:tc>
      </w:tr>
      <w:tr w:rsidR="00826F43" w:rsidRPr="00826F43" w:rsidTr="00826F43">
        <w:trPr>
          <w:trHeight w:val="555"/>
          <w:jc w:val="center"/>
        </w:trPr>
        <w:tc>
          <w:tcPr>
            <w:tcW w:w="1900" w:type="dxa"/>
            <w:vMerge w:val="restart"/>
            <w:tcBorders>
              <w:top w:val="nil"/>
              <w:left w:val="single" w:sz="8" w:space="0" w:color="0070C0"/>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ACWAPUR</w:t>
            </w:r>
          </w:p>
        </w:tc>
        <w:tc>
          <w:tcPr>
            <w:tcW w:w="2401" w:type="dxa"/>
            <w:vMerge w:val="restart"/>
            <w:tcBorders>
              <w:top w:val="nil"/>
              <w:left w:val="single" w:sz="8" w:space="0" w:color="0070C0"/>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jc w:val="center"/>
              <w:rPr>
                <w:rFonts w:ascii="Gill Sans MT" w:eastAsia="Times New Roman" w:hAnsi="Gill Sans MT" w:cs="Times New Roman"/>
                <w:color w:val="000000"/>
                <w:sz w:val="14"/>
                <w:szCs w:val="14"/>
                <w:lang w:val="en-US" w:eastAsia="pt-PT"/>
              </w:rPr>
            </w:pPr>
            <w:r w:rsidRPr="00826F43">
              <w:rPr>
                <w:rFonts w:ascii="Gill Sans MT" w:eastAsia="Times New Roman" w:hAnsi="Gill Sans MT" w:cs="Times New Roman"/>
                <w:color w:val="000000"/>
                <w:sz w:val="14"/>
                <w:szCs w:val="14"/>
                <w:lang w:val="en-US" w:eastAsia="pt-PT"/>
              </w:rPr>
              <w:t>Accelerated Water Purification during Artificial Recharge of Aquifers - A Tool to Restore Drinking Water Resources</w:t>
            </w:r>
          </w:p>
        </w:tc>
        <w:tc>
          <w:tcPr>
            <w:tcW w:w="740" w:type="dxa"/>
            <w:vMerge w:val="restart"/>
            <w:tcBorders>
              <w:top w:val="nil"/>
              <w:left w:val="single" w:sz="8" w:space="0" w:color="0070C0"/>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36m</w:t>
            </w: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Jens Aamand</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b/>
                <w:bCs/>
                <w:color w:val="000000"/>
                <w:sz w:val="14"/>
                <w:szCs w:val="14"/>
                <w:lang w:val="en-US" w:eastAsia="pt-PT"/>
              </w:rPr>
            </w:pPr>
            <w:r w:rsidRPr="00826F43">
              <w:rPr>
                <w:rFonts w:ascii="Calibri" w:eastAsia="Times New Roman" w:hAnsi="Calibri" w:cs="Times New Roman"/>
                <w:b/>
                <w:bCs/>
                <w:color w:val="000000"/>
                <w:sz w:val="14"/>
                <w:szCs w:val="14"/>
                <w:lang w:val="en-US" w:eastAsia="pt-PT"/>
              </w:rPr>
              <w:t>Geological Survey of Denmark and Greenland (GEUS)</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b/>
                <w:bCs/>
                <w:color w:val="000000"/>
                <w:sz w:val="14"/>
                <w:szCs w:val="14"/>
                <w:lang w:eastAsia="pt-PT"/>
              </w:rPr>
            </w:pPr>
            <w:r w:rsidRPr="00826F43">
              <w:rPr>
                <w:rFonts w:ascii="Calibri" w:eastAsia="Times New Roman" w:hAnsi="Calibri" w:cs="Times New Roman"/>
                <w:b/>
                <w:bCs/>
                <w:color w:val="000000"/>
                <w:sz w:val="14"/>
                <w:szCs w:val="14"/>
                <w:lang w:eastAsia="pt-PT"/>
              </w:rPr>
              <w:t>Denmark</w:t>
            </w:r>
          </w:p>
        </w:tc>
      </w:tr>
      <w:tr w:rsidR="00826F43" w:rsidRPr="00826F43" w:rsidTr="00826F43">
        <w:trPr>
          <w:trHeight w:val="375"/>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Jesus Carrera</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Instituto de Diagnóstico Ambiental y Estudios del Agua</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Spain</w:t>
            </w:r>
          </w:p>
        </w:tc>
      </w:tr>
      <w:tr w:rsidR="00826F43" w:rsidRPr="00826F43" w:rsidTr="00826F43">
        <w:trPr>
          <w:trHeight w:val="375"/>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Sara Hallin</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val="en-US" w:eastAsia="pt-PT"/>
              </w:rPr>
            </w:pPr>
            <w:r w:rsidRPr="00826F43">
              <w:rPr>
                <w:rFonts w:ascii="Calibri" w:eastAsia="Times New Roman" w:hAnsi="Calibri" w:cs="Times New Roman"/>
                <w:color w:val="000000"/>
                <w:sz w:val="14"/>
                <w:szCs w:val="14"/>
                <w:lang w:val="en-US" w:eastAsia="pt-PT"/>
              </w:rPr>
              <w:t>Swedish University of Agricultural Sciences (SLU)</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Sweden</w:t>
            </w:r>
          </w:p>
        </w:tc>
      </w:tr>
      <w:tr w:rsidR="00826F43" w:rsidRPr="00826F43" w:rsidTr="00826F43">
        <w:trPr>
          <w:trHeight w:val="375"/>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Caterina Levantesi</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val="en-US" w:eastAsia="pt-PT"/>
              </w:rPr>
            </w:pPr>
            <w:r w:rsidRPr="00826F43">
              <w:rPr>
                <w:rFonts w:ascii="Calibri" w:eastAsia="Times New Roman" w:hAnsi="Calibri" w:cs="Times New Roman"/>
                <w:color w:val="000000"/>
                <w:sz w:val="14"/>
                <w:szCs w:val="14"/>
                <w:lang w:val="en-US" w:eastAsia="pt-PT"/>
              </w:rPr>
              <w:t>Italian National Council of Research (CNR)</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Italy</w:t>
            </w:r>
          </w:p>
        </w:tc>
      </w:tr>
      <w:tr w:rsidR="00826F43" w:rsidRPr="00826F43" w:rsidTr="00826F43">
        <w:trPr>
          <w:trHeight w:val="375"/>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Xavier Sanchez-Vila</w:t>
            </w:r>
          </w:p>
        </w:tc>
        <w:tc>
          <w:tcPr>
            <w:tcW w:w="1823" w:type="dxa"/>
            <w:tcBorders>
              <w:top w:val="nil"/>
              <w:left w:val="nil"/>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Universitat Politècnica de Catalunya (UPC)</w:t>
            </w:r>
          </w:p>
        </w:tc>
        <w:tc>
          <w:tcPr>
            <w:tcW w:w="1120" w:type="dxa"/>
            <w:tcBorders>
              <w:top w:val="nil"/>
              <w:left w:val="nil"/>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Spain</w:t>
            </w:r>
          </w:p>
        </w:tc>
      </w:tr>
      <w:tr w:rsidR="00826F43" w:rsidRPr="00826F43" w:rsidTr="00826F43">
        <w:trPr>
          <w:trHeight w:val="555"/>
          <w:jc w:val="center"/>
        </w:trPr>
        <w:tc>
          <w:tcPr>
            <w:tcW w:w="1900" w:type="dxa"/>
            <w:vMerge w:val="restart"/>
            <w:tcBorders>
              <w:top w:val="nil"/>
              <w:left w:val="single" w:sz="8" w:space="0" w:color="0070C0"/>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Biorg4WasteWaterVal+</w:t>
            </w:r>
          </w:p>
        </w:tc>
        <w:tc>
          <w:tcPr>
            <w:tcW w:w="2401" w:type="dxa"/>
            <w:vMerge w:val="restart"/>
            <w:tcBorders>
              <w:top w:val="nil"/>
              <w:left w:val="single" w:sz="8" w:space="0" w:color="0070C0"/>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jc w:val="center"/>
              <w:rPr>
                <w:rFonts w:ascii="Gill Sans MT" w:eastAsia="Times New Roman" w:hAnsi="Gill Sans MT" w:cs="Times New Roman"/>
                <w:color w:val="000000"/>
                <w:sz w:val="14"/>
                <w:szCs w:val="14"/>
                <w:lang w:val="en-US" w:eastAsia="pt-PT"/>
              </w:rPr>
            </w:pPr>
            <w:r w:rsidRPr="00826F43">
              <w:rPr>
                <w:rFonts w:ascii="Gill Sans MT" w:eastAsia="Times New Roman" w:hAnsi="Gill Sans MT" w:cs="Times New Roman"/>
                <w:color w:val="000000"/>
                <w:sz w:val="14"/>
                <w:szCs w:val="14"/>
                <w:lang w:val="en-US" w:eastAsia="pt-PT"/>
              </w:rPr>
              <w:t>Bioorganic novel approaches for food processing waste water</w:t>
            </w:r>
            <w:r w:rsidRPr="00826F43">
              <w:rPr>
                <w:rFonts w:ascii="Gill Sans MT" w:eastAsia="Times New Roman" w:hAnsi="Gill Sans MT" w:cs="Times New Roman"/>
                <w:color w:val="000000"/>
                <w:sz w:val="14"/>
                <w:szCs w:val="14"/>
                <w:lang w:val="en-US" w:eastAsia="pt-PT"/>
              </w:rPr>
              <w:br/>
              <w:t>treatment and valorisation: Lupanine case study</w:t>
            </w:r>
          </w:p>
        </w:tc>
        <w:tc>
          <w:tcPr>
            <w:tcW w:w="740" w:type="dxa"/>
            <w:vMerge w:val="restart"/>
            <w:tcBorders>
              <w:top w:val="nil"/>
              <w:left w:val="single" w:sz="8" w:space="0" w:color="0070C0"/>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36m</w:t>
            </w: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Carlos Alberto Afonso</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b/>
                <w:bCs/>
                <w:color w:val="000000"/>
                <w:sz w:val="14"/>
                <w:szCs w:val="14"/>
                <w:lang w:val="en-US" w:eastAsia="pt-PT"/>
              </w:rPr>
            </w:pPr>
            <w:r w:rsidRPr="00826F43">
              <w:rPr>
                <w:rFonts w:ascii="Calibri" w:eastAsia="Times New Roman" w:hAnsi="Calibri" w:cs="Times New Roman"/>
                <w:b/>
                <w:bCs/>
                <w:color w:val="000000"/>
                <w:sz w:val="14"/>
                <w:szCs w:val="14"/>
                <w:lang w:val="en-US" w:eastAsia="pt-PT"/>
              </w:rPr>
              <w:t>FARM-ID, Faculty of Pharmacy, University of Lisbon (FF-UL)</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b/>
                <w:bCs/>
                <w:color w:val="000000"/>
                <w:sz w:val="14"/>
                <w:szCs w:val="14"/>
                <w:lang w:eastAsia="pt-PT"/>
              </w:rPr>
            </w:pPr>
            <w:r w:rsidRPr="00826F43">
              <w:rPr>
                <w:rFonts w:ascii="Calibri" w:eastAsia="Times New Roman" w:hAnsi="Calibri" w:cs="Times New Roman"/>
                <w:b/>
                <w:bCs/>
                <w:color w:val="000000"/>
                <w:sz w:val="14"/>
                <w:szCs w:val="14"/>
                <w:lang w:eastAsia="pt-PT"/>
              </w:rPr>
              <w:t>Portugal</w:t>
            </w:r>
          </w:p>
        </w:tc>
      </w:tr>
      <w:tr w:rsidR="00826F43" w:rsidRPr="00826F43" w:rsidTr="00826F43">
        <w:trPr>
          <w:trHeight w:val="735"/>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Frederico Ferreira</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Associação do Instituto Superior Técnico para a Investigação e Desenvolvimento (IST-ID/UL)</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Portugal</w:t>
            </w:r>
          </w:p>
        </w:tc>
      </w:tr>
      <w:tr w:rsidR="00826F43" w:rsidRPr="00826F43" w:rsidTr="00826F43">
        <w:trPr>
          <w:trHeight w:val="270"/>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Francesca Malpei</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Politecnico di Milano (POLIMI)</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Italy</w:t>
            </w:r>
          </w:p>
        </w:tc>
      </w:tr>
      <w:tr w:rsidR="00826F43" w:rsidRPr="00826F43" w:rsidTr="00826F43">
        <w:trPr>
          <w:trHeight w:val="555"/>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Thomas Schäfer</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val="en-US" w:eastAsia="pt-PT"/>
              </w:rPr>
            </w:pPr>
            <w:r w:rsidRPr="00826F43">
              <w:rPr>
                <w:rFonts w:ascii="Calibri" w:eastAsia="Times New Roman" w:hAnsi="Calibri" w:cs="Times New Roman"/>
                <w:color w:val="000000"/>
                <w:sz w:val="14"/>
                <w:szCs w:val="14"/>
                <w:lang w:val="en-US" w:eastAsia="pt-PT"/>
              </w:rPr>
              <w:t>Basque Centre for Macromolecular Design &amp; Engineering</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Spain</w:t>
            </w:r>
          </w:p>
        </w:tc>
      </w:tr>
      <w:tr w:rsidR="00826F43" w:rsidRPr="00826F43" w:rsidTr="00826F43">
        <w:trPr>
          <w:trHeight w:val="270"/>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Michalis Koutinas</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Cyprus University of Technology</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Cyprus</w:t>
            </w:r>
          </w:p>
        </w:tc>
      </w:tr>
      <w:tr w:rsidR="00826F43" w:rsidRPr="00826F43" w:rsidTr="00826F43">
        <w:trPr>
          <w:trHeight w:val="375"/>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Dina Bastos</w:t>
            </w:r>
          </w:p>
        </w:tc>
        <w:tc>
          <w:tcPr>
            <w:tcW w:w="1823" w:type="dxa"/>
            <w:tcBorders>
              <w:top w:val="nil"/>
              <w:left w:val="nil"/>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A Tremoceira Estrela da Piedade, Lda.</w:t>
            </w:r>
          </w:p>
        </w:tc>
        <w:tc>
          <w:tcPr>
            <w:tcW w:w="1120" w:type="dxa"/>
            <w:tcBorders>
              <w:top w:val="nil"/>
              <w:left w:val="nil"/>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Portugal</w:t>
            </w:r>
          </w:p>
        </w:tc>
      </w:tr>
      <w:tr w:rsidR="00826F43" w:rsidRPr="00826F43" w:rsidTr="00826F43">
        <w:trPr>
          <w:trHeight w:val="375"/>
          <w:jc w:val="center"/>
        </w:trPr>
        <w:tc>
          <w:tcPr>
            <w:tcW w:w="1900" w:type="dxa"/>
            <w:vMerge w:val="restart"/>
            <w:tcBorders>
              <w:top w:val="nil"/>
              <w:left w:val="single" w:sz="8" w:space="0" w:color="0070C0"/>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DESERT</w:t>
            </w:r>
          </w:p>
        </w:tc>
        <w:tc>
          <w:tcPr>
            <w:tcW w:w="2401" w:type="dxa"/>
            <w:vMerge w:val="restart"/>
            <w:tcBorders>
              <w:top w:val="nil"/>
              <w:left w:val="single" w:sz="8" w:space="0" w:color="0070C0"/>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jc w:val="center"/>
              <w:rPr>
                <w:rFonts w:ascii="Gill Sans MT" w:eastAsia="Times New Roman" w:hAnsi="Gill Sans MT" w:cs="Times New Roman"/>
                <w:color w:val="000000"/>
                <w:sz w:val="14"/>
                <w:szCs w:val="14"/>
                <w:lang w:val="en-US" w:eastAsia="pt-PT"/>
              </w:rPr>
            </w:pPr>
            <w:r w:rsidRPr="00826F43">
              <w:rPr>
                <w:rFonts w:ascii="Gill Sans MT" w:eastAsia="Times New Roman" w:hAnsi="Gill Sans MT" w:cs="Times New Roman"/>
                <w:color w:val="000000"/>
                <w:sz w:val="14"/>
                <w:szCs w:val="14"/>
                <w:lang w:val="en-US" w:eastAsia="pt-PT"/>
              </w:rPr>
              <w:t>Low-cost water DEsalination and SEnsoR Technology compact module</w:t>
            </w:r>
          </w:p>
        </w:tc>
        <w:tc>
          <w:tcPr>
            <w:tcW w:w="740" w:type="dxa"/>
            <w:vMerge w:val="restart"/>
            <w:tcBorders>
              <w:top w:val="nil"/>
              <w:left w:val="single" w:sz="8" w:space="0" w:color="0070C0"/>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36m</w:t>
            </w: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Pietro Rubino</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b/>
                <w:bCs/>
                <w:color w:val="000000"/>
                <w:sz w:val="14"/>
                <w:szCs w:val="14"/>
                <w:lang w:eastAsia="pt-PT"/>
              </w:rPr>
            </w:pPr>
            <w:r w:rsidRPr="00826F43">
              <w:rPr>
                <w:rFonts w:ascii="Calibri" w:eastAsia="Times New Roman" w:hAnsi="Calibri" w:cs="Times New Roman"/>
                <w:b/>
                <w:bCs/>
                <w:color w:val="000000"/>
                <w:sz w:val="14"/>
                <w:szCs w:val="14"/>
                <w:lang w:eastAsia="pt-PT"/>
              </w:rPr>
              <w:t>Università degli Studi di Bari Aldo Moro</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b/>
                <w:bCs/>
                <w:color w:val="000000"/>
                <w:sz w:val="14"/>
                <w:szCs w:val="14"/>
                <w:lang w:eastAsia="pt-PT"/>
              </w:rPr>
            </w:pPr>
            <w:r w:rsidRPr="00826F43">
              <w:rPr>
                <w:rFonts w:ascii="Calibri" w:eastAsia="Times New Roman" w:hAnsi="Calibri" w:cs="Times New Roman"/>
                <w:b/>
                <w:bCs/>
                <w:color w:val="000000"/>
                <w:sz w:val="14"/>
                <w:szCs w:val="14"/>
                <w:lang w:eastAsia="pt-PT"/>
              </w:rPr>
              <w:t>Italy</w:t>
            </w:r>
          </w:p>
        </w:tc>
      </w:tr>
      <w:tr w:rsidR="00826F43" w:rsidRPr="00826F43" w:rsidTr="00826F43">
        <w:trPr>
          <w:trHeight w:val="555"/>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Emilio Nicolás</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Agencia Estatal Consejo Superior de Investigaciones Científicas (CSIC) - CEBAS</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Spain</w:t>
            </w:r>
          </w:p>
        </w:tc>
      </w:tr>
      <w:tr w:rsidR="00826F43" w:rsidRPr="00826F43" w:rsidTr="00826F43">
        <w:trPr>
          <w:trHeight w:val="270"/>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Philippe Lebailly</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Univesité de Liège</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Belgium</w:t>
            </w:r>
          </w:p>
        </w:tc>
      </w:tr>
      <w:tr w:rsidR="00826F43" w:rsidRPr="00826F43" w:rsidTr="00826F43">
        <w:trPr>
          <w:trHeight w:val="555"/>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Anna Maria Stellacci</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Consiglio per la ricerca in agricoltura e l'analisi dell'economia agraria</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Italy</w:t>
            </w:r>
          </w:p>
        </w:tc>
      </w:tr>
      <w:tr w:rsidR="00826F43" w:rsidRPr="00826F43" w:rsidTr="00826F43">
        <w:trPr>
          <w:trHeight w:val="270"/>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Lucas Galera Quiles</w:t>
            </w:r>
          </w:p>
        </w:tc>
        <w:tc>
          <w:tcPr>
            <w:tcW w:w="1823" w:type="dxa"/>
            <w:tcBorders>
              <w:top w:val="nil"/>
              <w:left w:val="nil"/>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NOVEDADES AGRICOLAS SA</w:t>
            </w:r>
          </w:p>
        </w:tc>
        <w:tc>
          <w:tcPr>
            <w:tcW w:w="1120" w:type="dxa"/>
            <w:tcBorders>
              <w:top w:val="nil"/>
              <w:left w:val="nil"/>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Spain</w:t>
            </w:r>
          </w:p>
        </w:tc>
      </w:tr>
      <w:tr w:rsidR="00826F43" w:rsidRPr="00826F43" w:rsidTr="00826F43">
        <w:trPr>
          <w:trHeight w:val="270"/>
          <w:jc w:val="center"/>
        </w:trPr>
        <w:tc>
          <w:tcPr>
            <w:tcW w:w="1900" w:type="dxa"/>
            <w:vMerge w:val="restart"/>
            <w:tcBorders>
              <w:top w:val="nil"/>
              <w:left w:val="single" w:sz="8" w:space="0" w:color="0070C0"/>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DOMINO</w:t>
            </w:r>
          </w:p>
        </w:tc>
        <w:tc>
          <w:tcPr>
            <w:tcW w:w="2401" w:type="dxa"/>
            <w:vMerge w:val="restart"/>
            <w:tcBorders>
              <w:top w:val="nil"/>
              <w:left w:val="single" w:sz="8" w:space="0" w:color="0070C0"/>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jc w:val="center"/>
              <w:rPr>
                <w:rFonts w:ascii="Gill Sans MT" w:eastAsia="Times New Roman" w:hAnsi="Gill Sans MT" w:cs="Times New Roman"/>
                <w:color w:val="000000"/>
                <w:sz w:val="14"/>
                <w:szCs w:val="14"/>
                <w:lang w:val="en-US" w:eastAsia="pt-PT"/>
              </w:rPr>
            </w:pPr>
            <w:r w:rsidRPr="00826F43">
              <w:rPr>
                <w:rFonts w:ascii="Gill Sans MT" w:eastAsia="Times New Roman" w:hAnsi="Gill Sans MT" w:cs="Times New Roman"/>
                <w:color w:val="000000"/>
                <w:sz w:val="14"/>
                <w:szCs w:val="14"/>
                <w:lang w:val="en-US" w:eastAsia="pt-PT"/>
              </w:rPr>
              <w:t>Dikes and Debris Flows Monitoring by Novel Optical Fiber Sensors</w:t>
            </w:r>
          </w:p>
        </w:tc>
        <w:tc>
          <w:tcPr>
            <w:tcW w:w="740" w:type="dxa"/>
            <w:vMerge w:val="restart"/>
            <w:tcBorders>
              <w:top w:val="nil"/>
              <w:left w:val="single" w:sz="8" w:space="0" w:color="0070C0"/>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36m</w:t>
            </w: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Luca Palmieri</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b/>
                <w:bCs/>
                <w:color w:val="000000"/>
                <w:sz w:val="14"/>
                <w:szCs w:val="14"/>
                <w:lang w:eastAsia="pt-PT"/>
              </w:rPr>
            </w:pPr>
            <w:r w:rsidRPr="00826F43">
              <w:rPr>
                <w:rFonts w:ascii="Calibri" w:eastAsia="Times New Roman" w:hAnsi="Calibri" w:cs="Times New Roman"/>
                <w:b/>
                <w:bCs/>
                <w:color w:val="000000"/>
                <w:sz w:val="14"/>
                <w:szCs w:val="14"/>
                <w:lang w:eastAsia="pt-PT"/>
              </w:rPr>
              <w:t>University of Padova</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b/>
                <w:bCs/>
                <w:color w:val="000000"/>
                <w:sz w:val="14"/>
                <w:szCs w:val="14"/>
                <w:lang w:eastAsia="pt-PT"/>
              </w:rPr>
            </w:pPr>
            <w:r w:rsidRPr="00826F43">
              <w:rPr>
                <w:rFonts w:ascii="Calibri" w:eastAsia="Times New Roman" w:hAnsi="Calibri" w:cs="Times New Roman"/>
                <w:b/>
                <w:bCs/>
                <w:color w:val="000000"/>
                <w:sz w:val="14"/>
                <w:szCs w:val="14"/>
                <w:lang w:eastAsia="pt-PT"/>
              </w:rPr>
              <w:t>Italy</w:t>
            </w:r>
          </w:p>
        </w:tc>
      </w:tr>
      <w:tr w:rsidR="00826F43" w:rsidRPr="00826F43" w:rsidTr="00826F43">
        <w:trPr>
          <w:trHeight w:val="270"/>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Thom Bogaard</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Delft University of Technology</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The Netherlands</w:t>
            </w:r>
          </w:p>
        </w:tc>
      </w:tr>
      <w:tr w:rsidR="00826F43" w:rsidRPr="00826F43" w:rsidTr="00826F43">
        <w:trPr>
          <w:trHeight w:val="270"/>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Miguel Gonzalez-Herraez</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Universidad de Alcala</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Spain</w:t>
            </w:r>
          </w:p>
        </w:tc>
      </w:tr>
      <w:tr w:rsidR="00826F43" w:rsidRPr="00826F43" w:rsidTr="00826F43">
        <w:trPr>
          <w:trHeight w:val="555"/>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Alessandro Pasuto</w:t>
            </w:r>
          </w:p>
        </w:tc>
        <w:tc>
          <w:tcPr>
            <w:tcW w:w="1823" w:type="dxa"/>
            <w:tcBorders>
              <w:top w:val="nil"/>
              <w:left w:val="nil"/>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val="en-US" w:eastAsia="pt-PT"/>
              </w:rPr>
            </w:pPr>
            <w:r w:rsidRPr="00826F43">
              <w:rPr>
                <w:rFonts w:ascii="Calibri" w:eastAsia="Times New Roman" w:hAnsi="Calibri" w:cs="Times New Roman"/>
                <w:color w:val="000000"/>
                <w:sz w:val="14"/>
                <w:szCs w:val="14"/>
                <w:lang w:val="en-US" w:eastAsia="pt-PT"/>
              </w:rPr>
              <w:t>National Research Council - Research Institute for Geo-Hydrological Protection</w:t>
            </w:r>
          </w:p>
        </w:tc>
        <w:tc>
          <w:tcPr>
            <w:tcW w:w="1120" w:type="dxa"/>
            <w:tcBorders>
              <w:top w:val="nil"/>
              <w:left w:val="nil"/>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Italy</w:t>
            </w:r>
          </w:p>
        </w:tc>
      </w:tr>
      <w:tr w:rsidR="00826F43" w:rsidRPr="00826F43" w:rsidTr="00826F43">
        <w:trPr>
          <w:trHeight w:val="555"/>
          <w:jc w:val="center"/>
        </w:trPr>
        <w:tc>
          <w:tcPr>
            <w:tcW w:w="1900" w:type="dxa"/>
            <w:vMerge w:val="restart"/>
            <w:tcBorders>
              <w:top w:val="nil"/>
              <w:left w:val="single" w:sz="8" w:space="0" w:color="0070C0"/>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IMDROFLOOD</w:t>
            </w:r>
          </w:p>
        </w:tc>
        <w:tc>
          <w:tcPr>
            <w:tcW w:w="2401" w:type="dxa"/>
            <w:vMerge w:val="restart"/>
            <w:tcBorders>
              <w:top w:val="nil"/>
              <w:left w:val="single" w:sz="8" w:space="0" w:color="0070C0"/>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jc w:val="center"/>
              <w:rPr>
                <w:rFonts w:ascii="Gill Sans MT" w:eastAsia="Times New Roman" w:hAnsi="Gill Sans MT" w:cs="Times New Roman"/>
                <w:color w:val="000000"/>
                <w:sz w:val="14"/>
                <w:szCs w:val="14"/>
                <w:lang w:val="en-US" w:eastAsia="pt-PT"/>
              </w:rPr>
            </w:pPr>
            <w:r w:rsidRPr="00826F43">
              <w:rPr>
                <w:rFonts w:ascii="Gill Sans MT" w:eastAsia="Times New Roman" w:hAnsi="Gill Sans MT" w:cs="Times New Roman"/>
                <w:color w:val="000000"/>
                <w:sz w:val="14"/>
                <w:szCs w:val="14"/>
                <w:lang w:val="en-US" w:eastAsia="pt-PT"/>
              </w:rPr>
              <w:t>Improving Drought and Flood Early Warning, Forecasting and Mitigation using real-time hydroclimatic indicators</w:t>
            </w:r>
          </w:p>
        </w:tc>
        <w:tc>
          <w:tcPr>
            <w:tcW w:w="740" w:type="dxa"/>
            <w:vMerge w:val="restart"/>
            <w:tcBorders>
              <w:top w:val="nil"/>
              <w:left w:val="single" w:sz="8" w:space="0" w:color="0070C0"/>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36</w:t>
            </w: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Sergio Vicente-Serrano</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b/>
                <w:bCs/>
                <w:color w:val="000000"/>
                <w:sz w:val="14"/>
                <w:szCs w:val="14"/>
                <w:lang w:eastAsia="pt-PT"/>
              </w:rPr>
            </w:pPr>
            <w:r w:rsidRPr="00826F43">
              <w:rPr>
                <w:rFonts w:ascii="Calibri" w:eastAsia="Times New Roman" w:hAnsi="Calibri" w:cs="Times New Roman"/>
                <w:b/>
                <w:bCs/>
                <w:color w:val="000000"/>
                <w:sz w:val="14"/>
                <w:szCs w:val="14"/>
                <w:lang w:eastAsia="pt-PT"/>
              </w:rPr>
              <w:t>Consejo Superior de Investigaciones Cientificas</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b/>
                <w:bCs/>
                <w:color w:val="000000"/>
                <w:sz w:val="14"/>
                <w:szCs w:val="14"/>
                <w:lang w:eastAsia="pt-PT"/>
              </w:rPr>
            </w:pPr>
            <w:r w:rsidRPr="00826F43">
              <w:rPr>
                <w:rFonts w:ascii="Calibri" w:eastAsia="Times New Roman" w:hAnsi="Calibri" w:cs="Times New Roman"/>
                <w:b/>
                <w:bCs/>
                <w:color w:val="000000"/>
                <w:sz w:val="14"/>
                <w:szCs w:val="14"/>
                <w:lang w:eastAsia="pt-PT"/>
              </w:rPr>
              <w:t>Spain</w:t>
            </w:r>
          </w:p>
        </w:tc>
      </w:tr>
      <w:tr w:rsidR="00826F43" w:rsidRPr="00826F43" w:rsidTr="00826F43">
        <w:trPr>
          <w:trHeight w:val="555"/>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Ricardo Trigo</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Fundação da Faculdade de Ciências da Universidade de Lisboa (FFCUL)</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Portugal</w:t>
            </w:r>
          </w:p>
        </w:tc>
      </w:tr>
      <w:tr w:rsidR="00826F43" w:rsidRPr="00826F43" w:rsidTr="00826F43">
        <w:trPr>
          <w:trHeight w:val="270"/>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Chris Reason</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University of Cape Town</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South AfricA</w:t>
            </w:r>
          </w:p>
        </w:tc>
      </w:tr>
      <w:tr w:rsidR="00826F43" w:rsidRPr="00826F43" w:rsidTr="00826F43">
        <w:trPr>
          <w:trHeight w:val="375"/>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Roxana Bojariu</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National Meteorological Administration</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Romania</w:t>
            </w:r>
          </w:p>
        </w:tc>
      </w:tr>
      <w:tr w:rsidR="00826F43" w:rsidRPr="00826F43" w:rsidTr="00826F43">
        <w:trPr>
          <w:trHeight w:val="270"/>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Jaak Jaagus</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University of Tartu</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Estonia</w:t>
            </w:r>
          </w:p>
        </w:tc>
      </w:tr>
      <w:tr w:rsidR="00826F43" w:rsidRPr="00826F43" w:rsidTr="00826F43">
        <w:trPr>
          <w:trHeight w:val="375"/>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Boris Boincean</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val="en-US" w:eastAsia="pt-PT"/>
              </w:rPr>
            </w:pPr>
            <w:r w:rsidRPr="00826F43">
              <w:rPr>
                <w:rFonts w:ascii="Gill Sans MT" w:eastAsia="Times New Roman" w:hAnsi="Gill Sans MT" w:cs="Times New Roman"/>
                <w:color w:val="000000"/>
                <w:sz w:val="14"/>
                <w:szCs w:val="14"/>
                <w:lang w:val="en-US" w:eastAsia="pt-PT"/>
              </w:rPr>
              <w:t>Research Institute of Field Crops "Selectia"</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Moldova</w:t>
            </w:r>
          </w:p>
        </w:tc>
      </w:tr>
      <w:tr w:rsidR="00826F43" w:rsidRPr="00826F43" w:rsidTr="00826F43">
        <w:trPr>
          <w:trHeight w:val="375"/>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Jainme Ribalaygua</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Farisa Asesores y Consultores S.L.</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Spain</w:t>
            </w:r>
          </w:p>
        </w:tc>
      </w:tr>
      <w:tr w:rsidR="00826F43" w:rsidRPr="00826F43" w:rsidTr="00826F43">
        <w:trPr>
          <w:trHeight w:val="270"/>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Luis Gimeno</w:t>
            </w:r>
          </w:p>
        </w:tc>
        <w:tc>
          <w:tcPr>
            <w:tcW w:w="1823" w:type="dxa"/>
            <w:tcBorders>
              <w:top w:val="nil"/>
              <w:left w:val="nil"/>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University of Vigo</w:t>
            </w:r>
          </w:p>
        </w:tc>
        <w:tc>
          <w:tcPr>
            <w:tcW w:w="1120" w:type="dxa"/>
            <w:tcBorders>
              <w:top w:val="nil"/>
              <w:left w:val="nil"/>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Spain</w:t>
            </w:r>
          </w:p>
        </w:tc>
      </w:tr>
      <w:tr w:rsidR="00826F43" w:rsidRPr="00826F43" w:rsidTr="00826F43">
        <w:trPr>
          <w:trHeight w:val="375"/>
          <w:jc w:val="center"/>
        </w:trPr>
        <w:tc>
          <w:tcPr>
            <w:tcW w:w="1900" w:type="dxa"/>
            <w:vMerge w:val="restart"/>
            <w:tcBorders>
              <w:top w:val="nil"/>
              <w:left w:val="single" w:sz="8" w:space="0" w:color="0070C0"/>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INXCES</w:t>
            </w:r>
          </w:p>
        </w:tc>
        <w:tc>
          <w:tcPr>
            <w:tcW w:w="2401" w:type="dxa"/>
            <w:vMerge w:val="restart"/>
            <w:tcBorders>
              <w:top w:val="nil"/>
              <w:left w:val="single" w:sz="8" w:space="0" w:color="0070C0"/>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Gill Sans MT" w:eastAsia="Times New Roman" w:hAnsi="Gill Sans MT" w:cs="Times New Roman"/>
                <w:color w:val="000000"/>
                <w:sz w:val="14"/>
                <w:szCs w:val="14"/>
                <w:lang w:val="en-US" w:eastAsia="pt-PT"/>
              </w:rPr>
            </w:pPr>
            <w:r w:rsidRPr="00826F43">
              <w:rPr>
                <w:rFonts w:ascii="Gill Sans MT" w:eastAsia="Times New Roman" w:hAnsi="Gill Sans MT" w:cs="Times New Roman"/>
                <w:color w:val="000000"/>
                <w:sz w:val="14"/>
                <w:szCs w:val="14"/>
                <w:lang w:val="en-US" w:eastAsia="pt-PT"/>
              </w:rPr>
              <w:t>INnovations for eXtreme Climatic EventS</w:t>
            </w:r>
          </w:p>
        </w:tc>
        <w:tc>
          <w:tcPr>
            <w:tcW w:w="740" w:type="dxa"/>
            <w:vMerge w:val="restart"/>
            <w:tcBorders>
              <w:top w:val="nil"/>
              <w:left w:val="single" w:sz="8" w:space="0" w:color="0070C0"/>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36m</w:t>
            </w: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Tone Merete Muthanna</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b/>
                <w:bCs/>
                <w:color w:val="000000"/>
                <w:sz w:val="14"/>
                <w:szCs w:val="14"/>
                <w:lang w:val="en-US" w:eastAsia="pt-PT"/>
              </w:rPr>
            </w:pPr>
            <w:r w:rsidRPr="00826F43">
              <w:rPr>
                <w:rFonts w:ascii="Calibri" w:eastAsia="Times New Roman" w:hAnsi="Calibri" w:cs="Times New Roman"/>
                <w:b/>
                <w:bCs/>
                <w:color w:val="000000"/>
                <w:sz w:val="14"/>
                <w:szCs w:val="14"/>
                <w:lang w:val="en-US" w:eastAsia="pt-PT"/>
              </w:rPr>
              <w:t>Norwegian University of Science and Technology</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b/>
                <w:bCs/>
                <w:color w:val="000000"/>
                <w:sz w:val="14"/>
                <w:szCs w:val="14"/>
                <w:lang w:eastAsia="pt-PT"/>
              </w:rPr>
            </w:pPr>
            <w:r w:rsidRPr="00826F43">
              <w:rPr>
                <w:rFonts w:ascii="Calibri" w:eastAsia="Times New Roman" w:hAnsi="Calibri" w:cs="Times New Roman"/>
                <w:b/>
                <w:bCs/>
                <w:color w:val="000000"/>
                <w:sz w:val="14"/>
                <w:szCs w:val="14"/>
                <w:lang w:eastAsia="pt-PT"/>
              </w:rPr>
              <w:t>Norway</w:t>
            </w:r>
          </w:p>
        </w:tc>
      </w:tr>
      <w:tr w:rsidR="00826F43" w:rsidRPr="00826F43" w:rsidTr="00826F43">
        <w:trPr>
          <w:trHeight w:val="270"/>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Maria Viklander</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Luleå University of Technology</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Sweden</w:t>
            </w:r>
          </w:p>
        </w:tc>
      </w:tr>
      <w:tr w:rsidR="00826F43" w:rsidRPr="00826F43" w:rsidTr="00826F43">
        <w:trPr>
          <w:trHeight w:val="270"/>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John Dehls</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Geological Survey of Norway</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Norway</w:t>
            </w:r>
          </w:p>
        </w:tc>
      </w:tr>
      <w:tr w:rsidR="00826F43" w:rsidRPr="00826F43" w:rsidTr="00826F43">
        <w:trPr>
          <w:trHeight w:val="375"/>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Floris Cornelis Boogaard</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val="en-US" w:eastAsia="pt-PT"/>
              </w:rPr>
            </w:pPr>
            <w:r w:rsidRPr="00826F43">
              <w:rPr>
                <w:rFonts w:ascii="Calibri" w:eastAsia="Times New Roman" w:hAnsi="Calibri" w:cs="Times New Roman"/>
                <w:color w:val="000000"/>
                <w:sz w:val="14"/>
                <w:szCs w:val="14"/>
                <w:lang w:val="en-US" w:eastAsia="pt-PT"/>
              </w:rPr>
              <w:t>Hanze University of applied science in Groningen</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The Netherlands</w:t>
            </w:r>
          </w:p>
        </w:tc>
      </w:tr>
      <w:tr w:rsidR="00826F43" w:rsidRPr="00826F43" w:rsidTr="00826F43">
        <w:trPr>
          <w:trHeight w:val="375"/>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Radu Constantin Gogu</w:t>
            </w:r>
          </w:p>
        </w:tc>
        <w:tc>
          <w:tcPr>
            <w:tcW w:w="1823" w:type="dxa"/>
            <w:tcBorders>
              <w:top w:val="nil"/>
              <w:left w:val="nil"/>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val="en-US" w:eastAsia="pt-PT"/>
              </w:rPr>
            </w:pPr>
            <w:r w:rsidRPr="00826F43">
              <w:rPr>
                <w:rFonts w:ascii="Calibri" w:eastAsia="Times New Roman" w:hAnsi="Calibri" w:cs="Times New Roman"/>
                <w:color w:val="000000"/>
                <w:sz w:val="14"/>
                <w:szCs w:val="14"/>
                <w:lang w:val="en-US" w:eastAsia="pt-PT"/>
              </w:rPr>
              <w:t>Technical University of Civil Engineering Bucharest</w:t>
            </w:r>
          </w:p>
        </w:tc>
        <w:tc>
          <w:tcPr>
            <w:tcW w:w="1120" w:type="dxa"/>
            <w:tcBorders>
              <w:top w:val="nil"/>
              <w:left w:val="nil"/>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Romania</w:t>
            </w:r>
          </w:p>
        </w:tc>
      </w:tr>
      <w:tr w:rsidR="00826F43" w:rsidRPr="00826F43" w:rsidTr="00826F43">
        <w:trPr>
          <w:trHeight w:val="915"/>
          <w:jc w:val="center"/>
        </w:trPr>
        <w:tc>
          <w:tcPr>
            <w:tcW w:w="1900" w:type="dxa"/>
            <w:vMerge w:val="restart"/>
            <w:tcBorders>
              <w:top w:val="nil"/>
              <w:left w:val="single" w:sz="8" w:space="0" w:color="0070C0"/>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IRIDA</w:t>
            </w:r>
          </w:p>
        </w:tc>
        <w:tc>
          <w:tcPr>
            <w:tcW w:w="2401" w:type="dxa"/>
            <w:vMerge w:val="restart"/>
            <w:tcBorders>
              <w:top w:val="nil"/>
              <w:left w:val="single" w:sz="8" w:space="0" w:color="0070C0"/>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jc w:val="center"/>
              <w:rPr>
                <w:rFonts w:ascii="Gill Sans MT" w:eastAsia="Times New Roman" w:hAnsi="Gill Sans MT" w:cs="Times New Roman"/>
                <w:color w:val="000000"/>
                <w:sz w:val="14"/>
                <w:szCs w:val="14"/>
                <w:lang w:val="en-US" w:eastAsia="pt-PT"/>
              </w:rPr>
            </w:pPr>
            <w:r w:rsidRPr="00826F43">
              <w:rPr>
                <w:rFonts w:ascii="Gill Sans MT" w:eastAsia="Times New Roman" w:hAnsi="Gill Sans MT" w:cs="Times New Roman"/>
                <w:color w:val="000000"/>
                <w:sz w:val="14"/>
                <w:szCs w:val="14"/>
                <w:lang w:val="en-US" w:eastAsia="pt-PT"/>
              </w:rPr>
              <w:t>Innovative remote and ground sensors, data and tools into a decision support system for agriculture water management</w:t>
            </w:r>
          </w:p>
        </w:tc>
        <w:tc>
          <w:tcPr>
            <w:tcW w:w="740" w:type="dxa"/>
            <w:vMerge w:val="restart"/>
            <w:tcBorders>
              <w:top w:val="nil"/>
              <w:left w:val="single" w:sz="8" w:space="0" w:color="0070C0"/>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36m</w:t>
            </w: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Diego S. Intrigliolo</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b/>
                <w:bCs/>
                <w:color w:val="000000"/>
                <w:sz w:val="14"/>
                <w:szCs w:val="14"/>
                <w:lang w:eastAsia="pt-PT"/>
              </w:rPr>
            </w:pPr>
            <w:r w:rsidRPr="00826F43">
              <w:rPr>
                <w:rFonts w:ascii="Calibri" w:eastAsia="Times New Roman" w:hAnsi="Calibri" w:cs="Times New Roman"/>
                <w:b/>
                <w:bCs/>
                <w:color w:val="000000"/>
                <w:sz w:val="14"/>
                <w:szCs w:val="14"/>
                <w:lang w:eastAsia="pt-PT"/>
              </w:rPr>
              <w:t>Agencia Estatal Consejo Superior de Investigaciones Cientificas (CSIC) - CEBAS</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b/>
                <w:bCs/>
                <w:color w:val="000000"/>
                <w:sz w:val="14"/>
                <w:szCs w:val="14"/>
                <w:lang w:eastAsia="pt-PT"/>
              </w:rPr>
            </w:pPr>
            <w:r w:rsidRPr="00826F43">
              <w:rPr>
                <w:rFonts w:ascii="Calibri" w:eastAsia="Times New Roman" w:hAnsi="Calibri" w:cs="Times New Roman"/>
                <w:b/>
                <w:bCs/>
                <w:color w:val="000000"/>
                <w:sz w:val="14"/>
                <w:szCs w:val="14"/>
                <w:lang w:eastAsia="pt-PT"/>
              </w:rPr>
              <w:t>Spain</w:t>
            </w:r>
          </w:p>
        </w:tc>
      </w:tr>
      <w:tr w:rsidR="00826F43" w:rsidRPr="00826F43" w:rsidTr="00826F43">
        <w:trPr>
          <w:trHeight w:val="375"/>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Daniel Rodriguez</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Innovati Servicios Tecnologicos, SL</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Spain</w:t>
            </w:r>
          </w:p>
        </w:tc>
      </w:tr>
      <w:tr w:rsidR="00826F43" w:rsidRPr="00826F43" w:rsidTr="00826F43">
        <w:trPr>
          <w:trHeight w:val="555"/>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Pablo J. Zarco-Tejada</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Agencia Estatal Consejo Superior de Investigaciones Cientificas (CSIC) - IAS</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Spain</w:t>
            </w:r>
          </w:p>
        </w:tc>
      </w:tr>
      <w:tr w:rsidR="00826F43" w:rsidRPr="00826F43" w:rsidTr="00826F43">
        <w:trPr>
          <w:trHeight w:val="270"/>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Simona Consoli</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University of Catania</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Italy</w:t>
            </w:r>
          </w:p>
        </w:tc>
      </w:tr>
      <w:tr w:rsidR="00826F43" w:rsidRPr="00826F43" w:rsidTr="00826F43">
        <w:trPr>
          <w:trHeight w:val="555"/>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Giancarlo Roccuzzo</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Consiglio per la ricerca in agricoltura e l'analisi dell'economia agraria</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Italy</w:t>
            </w:r>
          </w:p>
        </w:tc>
      </w:tr>
      <w:tr w:rsidR="00826F43" w:rsidRPr="00826F43" w:rsidTr="00826F43">
        <w:trPr>
          <w:trHeight w:val="375"/>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Elena Mateescu</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National Meteorological Administration</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Romania</w:t>
            </w:r>
          </w:p>
        </w:tc>
      </w:tr>
      <w:tr w:rsidR="00826F43" w:rsidRPr="00826F43" w:rsidTr="00826F43">
        <w:trPr>
          <w:trHeight w:val="375"/>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Johannes Deelstra</w:t>
            </w:r>
          </w:p>
        </w:tc>
        <w:tc>
          <w:tcPr>
            <w:tcW w:w="1823" w:type="dxa"/>
            <w:tcBorders>
              <w:top w:val="nil"/>
              <w:left w:val="nil"/>
              <w:bottom w:val="nil"/>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val="en-US" w:eastAsia="pt-PT"/>
              </w:rPr>
            </w:pPr>
            <w:r w:rsidRPr="00826F43">
              <w:rPr>
                <w:rFonts w:ascii="Calibri" w:eastAsia="Times New Roman" w:hAnsi="Calibri" w:cs="Times New Roman"/>
                <w:color w:val="000000"/>
                <w:sz w:val="14"/>
                <w:szCs w:val="14"/>
                <w:lang w:val="en-US" w:eastAsia="pt-PT"/>
              </w:rPr>
              <w:t>NIBIO, Norwegian Institute of Bioeconomy Research</w:t>
            </w:r>
          </w:p>
        </w:tc>
        <w:tc>
          <w:tcPr>
            <w:tcW w:w="1120" w:type="dxa"/>
            <w:tcBorders>
              <w:top w:val="nil"/>
              <w:left w:val="nil"/>
              <w:bottom w:val="nil"/>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Norway</w:t>
            </w:r>
          </w:p>
        </w:tc>
      </w:tr>
      <w:tr w:rsidR="00826F43" w:rsidRPr="00826F43" w:rsidTr="00826F43">
        <w:trPr>
          <w:trHeight w:val="735"/>
          <w:jc w:val="center"/>
        </w:trPr>
        <w:tc>
          <w:tcPr>
            <w:tcW w:w="1900" w:type="dxa"/>
            <w:vMerge w:val="restart"/>
            <w:tcBorders>
              <w:top w:val="nil"/>
              <w:left w:val="single" w:sz="8" w:space="0" w:color="0070C0"/>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MEPROWARE</w:t>
            </w:r>
          </w:p>
        </w:tc>
        <w:tc>
          <w:tcPr>
            <w:tcW w:w="2401" w:type="dxa"/>
            <w:vMerge w:val="restart"/>
            <w:tcBorders>
              <w:top w:val="nil"/>
              <w:left w:val="single" w:sz="8" w:space="0" w:color="0070C0"/>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jc w:val="center"/>
              <w:rPr>
                <w:rFonts w:ascii="Gill Sans MT" w:eastAsia="Times New Roman" w:hAnsi="Gill Sans MT" w:cs="Times New Roman"/>
                <w:color w:val="000000"/>
                <w:sz w:val="14"/>
                <w:szCs w:val="14"/>
                <w:lang w:val="en-US" w:eastAsia="pt-PT"/>
              </w:rPr>
            </w:pPr>
            <w:r w:rsidRPr="00826F43">
              <w:rPr>
                <w:rFonts w:ascii="Gill Sans MT" w:eastAsia="Times New Roman" w:hAnsi="Gill Sans MT" w:cs="Times New Roman"/>
                <w:color w:val="000000"/>
                <w:sz w:val="14"/>
                <w:szCs w:val="14"/>
                <w:lang w:val="en-US" w:eastAsia="pt-PT"/>
              </w:rPr>
              <w:t>Novel Methodology for the Promotion of Treated Wastewater Reuse for Mediterranean Crops Improvement</w:t>
            </w:r>
          </w:p>
        </w:tc>
        <w:tc>
          <w:tcPr>
            <w:tcW w:w="740" w:type="dxa"/>
            <w:vMerge w:val="restart"/>
            <w:tcBorders>
              <w:top w:val="nil"/>
              <w:left w:val="single" w:sz="8" w:space="0" w:color="0070C0"/>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24m</w:t>
            </w: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Alfieri Pollice</w:t>
            </w:r>
          </w:p>
        </w:tc>
        <w:tc>
          <w:tcPr>
            <w:tcW w:w="1823" w:type="dxa"/>
            <w:tcBorders>
              <w:top w:val="single" w:sz="8" w:space="0" w:color="0070C0"/>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b/>
                <w:bCs/>
                <w:color w:val="000000"/>
                <w:sz w:val="14"/>
                <w:szCs w:val="14"/>
                <w:lang w:val="en-US" w:eastAsia="pt-PT"/>
              </w:rPr>
            </w:pPr>
            <w:r w:rsidRPr="00826F43">
              <w:rPr>
                <w:rFonts w:ascii="Calibri" w:eastAsia="Times New Roman" w:hAnsi="Calibri" w:cs="Times New Roman"/>
                <w:b/>
                <w:bCs/>
                <w:color w:val="000000"/>
                <w:sz w:val="14"/>
                <w:szCs w:val="14"/>
                <w:lang w:val="en-US" w:eastAsia="pt-PT"/>
              </w:rPr>
              <w:t>IRSA CNR, Water Research Institute of the National Research Council of Italy</w:t>
            </w:r>
          </w:p>
        </w:tc>
        <w:tc>
          <w:tcPr>
            <w:tcW w:w="1120" w:type="dxa"/>
            <w:tcBorders>
              <w:top w:val="single" w:sz="8" w:space="0" w:color="0070C0"/>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b/>
                <w:bCs/>
                <w:color w:val="000000"/>
                <w:sz w:val="14"/>
                <w:szCs w:val="14"/>
                <w:lang w:eastAsia="pt-PT"/>
              </w:rPr>
            </w:pPr>
            <w:r w:rsidRPr="00826F43">
              <w:rPr>
                <w:rFonts w:ascii="Calibri" w:eastAsia="Times New Roman" w:hAnsi="Calibri" w:cs="Times New Roman"/>
                <w:b/>
                <w:bCs/>
                <w:color w:val="000000"/>
                <w:sz w:val="14"/>
                <w:szCs w:val="14"/>
                <w:lang w:eastAsia="pt-PT"/>
              </w:rPr>
              <w:t>Italy</w:t>
            </w:r>
          </w:p>
        </w:tc>
      </w:tr>
      <w:tr w:rsidR="00826F43" w:rsidRPr="00826F43" w:rsidTr="00826F43">
        <w:trPr>
          <w:trHeight w:val="1095"/>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Nicola Lamaddalena</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CIHEAM-IAMB, Centre International de Hautes Etudes Agronomiques Mediterraneennes - Istituto Agronomico Mediterraneo di Bari</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Italy</w:t>
            </w:r>
          </w:p>
        </w:tc>
      </w:tr>
      <w:tr w:rsidR="00826F43" w:rsidRPr="00826F43" w:rsidTr="00826F43">
        <w:trPr>
          <w:trHeight w:val="555"/>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Gonçalo Rodrigues</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ISA LEAF, Instituto Superior de Agronomia - University of Lisbon</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Portugal</w:t>
            </w:r>
          </w:p>
        </w:tc>
      </w:tr>
      <w:tr w:rsidR="00826F43" w:rsidRPr="00826F43" w:rsidTr="00826F43">
        <w:trPr>
          <w:trHeight w:val="375"/>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nil"/>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Jorge De las Heras</w:t>
            </w:r>
          </w:p>
        </w:tc>
        <w:tc>
          <w:tcPr>
            <w:tcW w:w="1823" w:type="dxa"/>
            <w:tcBorders>
              <w:top w:val="nil"/>
              <w:left w:val="nil"/>
              <w:bottom w:val="nil"/>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val="en-US" w:eastAsia="pt-PT"/>
              </w:rPr>
            </w:pPr>
            <w:r w:rsidRPr="00826F43">
              <w:rPr>
                <w:rFonts w:ascii="Calibri" w:eastAsia="Times New Roman" w:hAnsi="Calibri" w:cs="Times New Roman"/>
                <w:color w:val="000000"/>
                <w:sz w:val="14"/>
                <w:szCs w:val="14"/>
                <w:lang w:val="en-US" w:eastAsia="pt-PT"/>
              </w:rPr>
              <w:t>UCLM, University of Castilla-La Mancha</w:t>
            </w:r>
          </w:p>
        </w:tc>
        <w:tc>
          <w:tcPr>
            <w:tcW w:w="1120" w:type="dxa"/>
            <w:tcBorders>
              <w:top w:val="nil"/>
              <w:left w:val="nil"/>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Spain</w:t>
            </w:r>
          </w:p>
        </w:tc>
      </w:tr>
      <w:tr w:rsidR="00826F43" w:rsidRPr="00826F43" w:rsidTr="00826F43">
        <w:trPr>
          <w:trHeight w:val="555"/>
          <w:jc w:val="center"/>
        </w:trPr>
        <w:tc>
          <w:tcPr>
            <w:tcW w:w="1900" w:type="dxa"/>
            <w:vMerge w:val="restart"/>
            <w:tcBorders>
              <w:top w:val="nil"/>
              <w:left w:val="single" w:sz="8" w:space="0" w:color="0070C0"/>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MUFFIN</w:t>
            </w:r>
          </w:p>
        </w:tc>
        <w:tc>
          <w:tcPr>
            <w:tcW w:w="2401" w:type="dxa"/>
            <w:vMerge w:val="restart"/>
            <w:tcBorders>
              <w:top w:val="nil"/>
              <w:left w:val="single" w:sz="8" w:space="0" w:color="0070C0"/>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jc w:val="center"/>
              <w:rPr>
                <w:rFonts w:ascii="Gill Sans MT" w:eastAsia="Times New Roman" w:hAnsi="Gill Sans MT" w:cs="Times New Roman"/>
                <w:color w:val="000000"/>
                <w:sz w:val="14"/>
                <w:szCs w:val="14"/>
                <w:lang w:val="en-US" w:eastAsia="pt-PT"/>
              </w:rPr>
            </w:pPr>
            <w:r w:rsidRPr="00826F43">
              <w:rPr>
                <w:rFonts w:ascii="Gill Sans MT" w:eastAsia="Times New Roman" w:hAnsi="Gill Sans MT" w:cs="Times New Roman"/>
                <w:color w:val="000000"/>
                <w:sz w:val="14"/>
                <w:szCs w:val="14"/>
                <w:lang w:val="en-US" w:eastAsia="pt-PT"/>
              </w:rPr>
              <w:t>Multi-Scale Urban Flood Forecasting: From Local Tailored Systems to a Pan-European Service</w:t>
            </w:r>
          </w:p>
        </w:tc>
        <w:tc>
          <w:tcPr>
            <w:tcW w:w="740" w:type="dxa"/>
            <w:vMerge w:val="restart"/>
            <w:tcBorders>
              <w:top w:val="nil"/>
              <w:left w:val="single" w:sz="8" w:space="0" w:color="0070C0"/>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36m</w:t>
            </w:r>
          </w:p>
        </w:tc>
        <w:tc>
          <w:tcPr>
            <w:tcW w:w="1736" w:type="dxa"/>
            <w:tcBorders>
              <w:top w:val="single" w:sz="8" w:space="0" w:color="0070C0"/>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Jonas Olsson</w:t>
            </w:r>
          </w:p>
        </w:tc>
        <w:tc>
          <w:tcPr>
            <w:tcW w:w="1823" w:type="dxa"/>
            <w:tcBorders>
              <w:top w:val="single" w:sz="8" w:space="0" w:color="0070C0"/>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b/>
                <w:bCs/>
                <w:color w:val="000000"/>
                <w:sz w:val="14"/>
                <w:szCs w:val="14"/>
                <w:lang w:val="en-US" w:eastAsia="pt-PT"/>
              </w:rPr>
            </w:pPr>
            <w:r w:rsidRPr="00826F43">
              <w:rPr>
                <w:rFonts w:ascii="Calibri" w:eastAsia="Times New Roman" w:hAnsi="Calibri" w:cs="Times New Roman"/>
                <w:b/>
                <w:bCs/>
                <w:color w:val="000000"/>
                <w:sz w:val="14"/>
                <w:szCs w:val="14"/>
                <w:lang w:val="en-US" w:eastAsia="pt-PT"/>
              </w:rPr>
              <w:t>Swedish Meteorological and Hydrological Institute (SMHI)</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b/>
                <w:bCs/>
                <w:color w:val="000000"/>
                <w:sz w:val="14"/>
                <w:szCs w:val="14"/>
                <w:lang w:eastAsia="pt-PT"/>
              </w:rPr>
            </w:pPr>
            <w:r w:rsidRPr="00826F43">
              <w:rPr>
                <w:rFonts w:ascii="Calibri" w:eastAsia="Times New Roman" w:hAnsi="Calibri" w:cs="Times New Roman"/>
                <w:b/>
                <w:bCs/>
                <w:color w:val="000000"/>
                <w:sz w:val="14"/>
                <w:szCs w:val="14"/>
                <w:lang w:eastAsia="pt-PT"/>
              </w:rPr>
              <w:t>Sweden</w:t>
            </w:r>
          </w:p>
        </w:tc>
      </w:tr>
      <w:tr w:rsidR="00826F43" w:rsidRPr="00826F43" w:rsidTr="00826F43">
        <w:trPr>
          <w:trHeight w:val="270"/>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Soren Thorndahl</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Aalborg University</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Sweden</w:t>
            </w:r>
          </w:p>
        </w:tc>
      </w:tr>
      <w:tr w:rsidR="00826F43" w:rsidRPr="00826F43" w:rsidTr="00826F43">
        <w:trPr>
          <w:trHeight w:val="270"/>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Herman Russchenberg</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Delft University of Technology</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The Netherlands</w:t>
            </w:r>
          </w:p>
        </w:tc>
      </w:tr>
      <w:tr w:rsidR="00826F43" w:rsidRPr="00826F43" w:rsidTr="00826F43">
        <w:trPr>
          <w:trHeight w:val="270"/>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nil"/>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Teemu Kokkonen</w:t>
            </w:r>
          </w:p>
        </w:tc>
        <w:tc>
          <w:tcPr>
            <w:tcW w:w="1823" w:type="dxa"/>
            <w:tcBorders>
              <w:top w:val="nil"/>
              <w:left w:val="nil"/>
              <w:bottom w:val="nil"/>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Aalto and Helsinki University</w:t>
            </w:r>
          </w:p>
        </w:tc>
        <w:tc>
          <w:tcPr>
            <w:tcW w:w="1120" w:type="dxa"/>
            <w:tcBorders>
              <w:top w:val="nil"/>
              <w:left w:val="nil"/>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Finland</w:t>
            </w:r>
          </w:p>
        </w:tc>
      </w:tr>
      <w:tr w:rsidR="00826F43" w:rsidRPr="00826F43" w:rsidTr="00826F43">
        <w:trPr>
          <w:trHeight w:val="375"/>
          <w:jc w:val="center"/>
        </w:trPr>
        <w:tc>
          <w:tcPr>
            <w:tcW w:w="1900" w:type="dxa"/>
            <w:vMerge w:val="restart"/>
            <w:tcBorders>
              <w:top w:val="nil"/>
              <w:left w:val="single" w:sz="8" w:space="0" w:color="0070C0"/>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lastRenderedPageBreak/>
              <w:t>Pioneer_STP</w:t>
            </w:r>
          </w:p>
        </w:tc>
        <w:tc>
          <w:tcPr>
            <w:tcW w:w="2401" w:type="dxa"/>
            <w:vMerge w:val="restart"/>
            <w:tcBorders>
              <w:top w:val="nil"/>
              <w:left w:val="single" w:sz="8" w:space="0" w:color="0070C0"/>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jc w:val="center"/>
              <w:rPr>
                <w:rFonts w:ascii="Gill Sans MT" w:eastAsia="Times New Roman" w:hAnsi="Gill Sans MT" w:cs="Times New Roman"/>
                <w:color w:val="000000"/>
                <w:sz w:val="14"/>
                <w:szCs w:val="14"/>
                <w:lang w:val="en-US" w:eastAsia="pt-PT"/>
              </w:rPr>
            </w:pPr>
            <w:r w:rsidRPr="00826F43">
              <w:rPr>
                <w:rFonts w:ascii="Gill Sans MT" w:eastAsia="Times New Roman" w:hAnsi="Gill Sans MT" w:cs="Times New Roman"/>
                <w:color w:val="000000"/>
                <w:sz w:val="14"/>
                <w:szCs w:val="14"/>
                <w:lang w:val="en-US" w:eastAsia="pt-PT"/>
              </w:rPr>
              <w:t>The Potential of Innovative Technologies to Improve Sustainability of Sewage Treatment Plants</w:t>
            </w:r>
          </w:p>
        </w:tc>
        <w:tc>
          <w:tcPr>
            <w:tcW w:w="740" w:type="dxa"/>
            <w:vMerge w:val="restart"/>
            <w:tcBorders>
              <w:top w:val="nil"/>
              <w:left w:val="single" w:sz="8" w:space="0" w:color="0070C0"/>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36m</w:t>
            </w:r>
          </w:p>
        </w:tc>
        <w:tc>
          <w:tcPr>
            <w:tcW w:w="1736" w:type="dxa"/>
            <w:tcBorders>
              <w:top w:val="single" w:sz="8" w:space="0" w:color="0070C0"/>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Juan M. Lema</w:t>
            </w:r>
          </w:p>
        </w:tc>
        <w:tc>
          <w:tcPr>
            <w:tcW w:w="1823" w:type="dxa"/>
            <w:tcBorders>
              <w:top w:val="single" w:sz="8" w:space="0" w:color="0070C0"/>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b/>
                <w:bCs/>
                <w:color w:val="000000"/>
                <w:sz w:val="14"/>
                <w:szCs w:val="14"/>
                <w:lang w:eastAsia="pt-PT"/>
              </w:rPr>
            </w:pPr>
            <w:r w:rsidRPr="00826F43">
              <w:rPr>
                <w:rFonts w:ascii="Calibri" w:eastAsia="Times New Roman" w:hAnsi="Calibri" w:cs="Times New Roman"/>
                <w:b/>
                <w:bCs/>
                <w:color w:val="000000"/>
                <w:sz w:val="14"/>
                <w:szCs w:val="14"/>
                <w:lang w:eastAsia="pt-PT"/>
              </w:rPr>
              <w:t>University of Santiago de Compostela</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b/>
                <w:bCs/>
                <w:color w:val="000000"/>
                <w:sz w:val="14"/>
                <w:szCs w:val="14"/>
                <w:lang w:eastAsia="pt-PT"/>
              </w:rPr>
            </w:pPr>
            <w:r w:rsidRPr="00826F43">
              <w:rPr>
                <w:rFonts w:ascii="Calibri" w:eastAsia="Times New Roman" w:hAnsi="Calibri" w:cs="Times New Roman"/>
                <w:b/>
                <w:bCs/>
                <w:color w:val="000000"/>
                <w:sz w:val="14"/>
                <w:szCs w:val="14"/>
                <w:lang w:eastAsia="pt-PT"/>
              </w:rPr>
              <w:t>Spain</w:t>
            </w:r>
          </w:p>
        </w:tc>
      </w:tr>
      <w:tr w:rsidR="00826F43" w:rsidRPr="00826F43" w:rsidTr="00826F43">
        <w:trPr>
          <w:trHeight w:val="270"/>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Francesco Fatone</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University of Verona</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Italy</w:t>
            </w:r>
          </w:p>
        </w:tc>
      </w:tr>
      <w:tr w:rsidR="00826F43" w:rsidRPr="00826F43" w:rsidTr="00826F43">
        <w:trPr>
          <w:trHeight w:val="270"/>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Gürkan Sin</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Technical University of Denmark</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Denmark</w:t>
            </w:r>
          </w:p>
        </w:tc>
      </w:tr>
      <w:tr w:rsidR="00826F43" w:rsidRPr="00826F43" w:rsidTr="00826F43">
        <w:trPr>
          <w:trHeight w:val="270"/>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Elzbieta Plaza</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Royal Institute of Technology</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Sweden</w:t>
            </w:r>
          </w:p>
        </w:tc>
      </w:tr>
      <w:tr w:rsidR="00826F43" w:rsidRPr="00826F43" w:rsidTr="00826F43">
        <w:trPr>
          <w:trHeight w:val="270"/>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Jose R. Vazquez-Padin</w:t>
            </w:r>
          </w:p>
        </w:tc>
        <w:tc>
          <w:tcPr>
            <w:tcW w:w="1823" w:type="dxa"/>
            <w:tcBorders>
              <w:top w:val="nil"/>
              <w:left w:val="nil"/>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FCC Aqualia</w:t>
            </w:r>
          </w:p>
        </w:tc>
        <w:tc>
          <w:tcPr>
            <w:tcW w:w="1120" w:type="dxa"/>
            <w:tcBorders>
              <w:top w:val="nil"/>
              <w:left w:val="nil"/>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Spain</w:t>
            </w:r>
          </w:p>
        </w:tc>
      </w:tr>
      <w:tr w:rsidR="00826F43" w:rsidRPr="00826F43" w:rsidTr="00826F43">
        <w:trPr>
          <w:trHeight w:val="270"/>
          <w:jc w:val="center"/>
        </w:trPr>
        <w:tc>
          <w:tcPr>
            <w:tcW w:w="1900" w:type="dxa"/>
            <w:vMerge w:val="restart"/>
            <w:tcBorders>
              <w:top w:val="nil"/>
              <w:left w:val="single" w:sz="8" w:space="0" w:color="0070C0"/>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PROGNOS</w:t>
            </w:r>
          </w:p>
        </w:tc>
        <w:tc>
          <w:tcPr>
            <w:tcW w:w="2401" w:type="dxa"/>
            <w:vMerge w:val="restart"/>
            <w:tcBorders>
              <w:top w:val="nil"/>
              <w:left w:val="single" w:sz="8" w:space="0" w:color="0070C0"/>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jc w:val="center"/>
              <w:rPr>
                <w:rFonts w:ascii="Gill Sans MT" w:eastAsia="Times New Roman" w:hAnsi="Gill Sans MT" w:cs="Times New Roman"/>
                <w:color w:val="000000"/>
                <w:sz w:val="14"/>
                <w:szCs w:val="14"/>
                <w:lang w:val="en-US" w:eastAsia="pt-PT"/>
              </w:rPr>
            </w:pPr>
            <w:r w:rsidRPr="00826F43">
              <w:rPr>
                <w:rFonts w:ascii="Gill Sans MT" w:eastAsia="Times New Roman" w:hAnsi="Gill Sans MT" w:cs="Times New Roman"/>
                <w:color w:val="000000"/>
                <w:sz w:val="14"/>
                <w:szCs w:val="14"/>
                <w:lang w:val="en-US" w:eastAsia="pt-PT"/>
              </w:rPr>
              <w:t>Predicting In-Lake Responses to Change Using Near Real Time Models</w:t>
            </w:r>
          </w:p>
        </w:tc>
        <w:tc>
          <w:tcPr>
            <w:tcW w:w="740" w:type="dxa"/>
            <w:vMerge w:val="restart"/>
            <w:tcBorders>
              <w:top w:val="nil"/>
              <w:left w:val="single" w:sz="8" w:space="0" w:color="0070C0"/>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36m</w:t>
            </w: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Donald Pierson</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b/>
                <w:bCs/>
                <w:color w:val="000000"/>
                <w:sz w:val="14"/>
                <w:szCs w:val="14"/>
                <w:lang w:eastAsia="pt-PT"/>
              </w:rPr>
            </w:pPr>
            <w:r w:rsidRPr="00826F43">
              <w:rPr>
                <w:rFonts w:ascii="Calibri" w:eastAsia="Times New Roman" w:hAnsi="Calibri" w:cs="Times New Roman"/>
                <w:b/>
                <w:bCs/>
                <w:color w:val="000000"/>
                <w:sz w:val="14"/>
                <w:szCs w:val="14"/>
                <w:lang w:eastAsia="pt-PT"/>
              </w:rPr>
              <w:t>Uppsala University</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b/>
                <w:bCs/>
                <w:color w:val="000000"/>
                <w:sz w:val="14"/>
                <w:szCs w:val="14"/>
                <w:lang w:eastAsia="pt-PT"/>
              </w:rPr>
            </w:pPr>
            <w:r w:rsidRPr="00826F43">
              <w:rPr>
                <w:rFonts w:ascii="Calibri" w:eastAsia="Times New Roman" w:hAnsi="Calibri" w:cs="Times New Roman"/>
                <w:b/>
                <w:bCs/>
                <w:color w:val="000000"/>
                <w:sz w:val="14"/>
                <w:szCs w:val="14"/>
                <w:lang w:eastAsia="pt-PT"/>
              </w:rPr>
              <w:t>Sweden</w:t>
            </w:r>
          </w:p>
        </w:tc>
      </w:tr>
      <w:tr w:rsidR="00826F43" w:rsidRPr="00826F43" w:rsidTr="00826F43">
        <w:trPr>
          <w:trHeight w:val="270"/>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Eleanor Jennings</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Dundalk Institute of Technology</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Ireland</w:t>
            </w:r>
          </w:p>
        </w:tc>
      </w:tr>
      <w:tr w:rsidR="00826F43" w:rsidRPr="00826F43" w:rsidTr="00826F43">
        <w:trPr>
          <w:trHeight w:val="270"/>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Elvira de Eyto</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Marine Institute</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Ireland</w:t>
            </w:r>
          </w:p>
        </w:tc>
      </w:tr>
      <w:tr w:rsidR="00826F43" w:rsidRPr="00826F43" w:rsidTr="00826F43">
        <w:trPr>
          <w:trHeight w:val="270"/>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Erik Jeppesen</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Aarhus University</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Denmark</w:t>
            </w:r>
          </w:p>
        </w:tc>
      </w:tr>
      <w:tr w:rsidR="00826F43" w:rsidRPr="00826F43" w:rsidTr="00826F43">
        <w:trPr>
          <w:trHeight w:val="375"/>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Raoul-Marie Couture</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val="en-US" w:eastAsia="pt-PT"/>
              </w:rPr>
            </w:pPr>
            <w:r w:rsidRPr="00826F43">
              <w:rPr>
                <w:rFonts w:ascii="Calibri" w:eastAsia="Times New Roman" w:hAnsi="Calibri" w:cs="Times New Roman"/>
                <w:color w:val="000000"/>
                <w:sz w:val="14"/>
                <w:szCs w:val="14"/>
                <w:lang w:val="en-US" w:eastAsia="pt-PT"/>
              </w:rPr>
              <w:t>Norwegian Institute for Water Research - NIVA</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Norway</w:t>
            </w:r>
          </w:p>
        </w:tc>
      </w:tr>
      <w:tr w:rsidR="00826F43" w:rsidRPr="00826F43" w:rsidTr="00826F43">
        <w:trPr>
          <w:trHeight w:val="375"/>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nil"/>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Gideon gal</w:t>
            </w:r>
          </w:p>
        </w:tc>
        <w:tc>
          <w:tcPr>
            <w:tcW w:w="1823" w:type="dxa"/>
            <w:tcBorders>
              <w:top w:val="nil"/>
              <w:left w:val="nil"/>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val="en-US" w:eastAsia="pt-PT"/>
              </w:rPr>
            </w:pPr>
            <w:r w:rsidRPr="00826F43">
              <w:rPr>
                <w:rFonts w:ascii="Calibri" w:eastAsia="Times New Roman" w:hAnsi="Calibri" w:cs="Times New Roman"/>
                <w:color w:val="000000"/>
                <w:sz w:val="14"/>
                <w:szCs w:val="14"/>
                <w:lang w:val="en-US" w:eastAsia="pt-PT"/>
              </w:rPr>
              <w:t>Israel Oceanographic and Limnological Research</w:t>
            </w:r>
          </w:p>
        </w:tc>
        <w:tc>
          <w:tcPr>
            <w:tcW w:w="1120" w:type="dxa"/>
            <w:tcBorders>
              <w:top w:val="nil"/>
              <w:left w:val="nil"/>
              <w:bottom w:val="nil"/>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Israel</w:t>
            </w:r>
          </w:p>
        </w:tc>
      </w:tr>
      <w:tr w:rsidR="00826F43" w:rsidRPr="00826F43" w:rsidTr="00826F43">
        <w:trPr>
          <w:trHeight w:val="270"/>
          <w:jc w:val="center"/>
        </w:trPr>
        <w:tc>
          <w:tcPr>
            <w:tcW w:w="1900" w:type="dxa"/>
            <w:vMerge w:val="restart"/>
            <w:tcBorders>
              <w:top w:val="nil"/>
              <w:left w:val="single" w:sz="8" w:space="0" w:color="0070C0"/>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SIM</w:t>
            </w:r>
          </w:p>
        </w:tc>
        <w:tc>
          <w:tcPr>
            <w:tcW w:w="2401" w:type="dxa"/>
            <w:vMerge w:val="restart"/>
            <w:tcBorders>
              <w:top w:val="nil"/>
              <w:left w:val="single" w:sz="8" w:space="0" w:color="0070C0"/>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jc w:val="center"/>
              <w:rPr>
                <w:rFonts w:ascii="Gill Sans MT" w:eastAsia="Times New Roman" w:hAnsi="Gill Sans MT" w:cs="Times New Roman"/>
                <w:color w:val="000000"/>
                <w:sz w:val="14"/>
                <w:szCs w:val="14"/>
                <w:lang w:val="en-US" w:eastAsia="pt-PT"/>
              </w:rPr>
            </w:pPr>
            <w:r w:rsidRPr="00826F43">
              <w:rPr>
                <w:rFonts w:ascii="Gill Sans MT" w:eastAsia="Times New Roman" w:hAnsi="Gill Sans MT" w:cs="Times New Roman"/>
                <w:color w:val="000000"/>
                <w:sz w:val="14"/>
                <w:szCs w:val="14"/>
                <w:lang w:val="en-US" w:eastAsia="pt-PT"/>
              </w:rPr>
              <w:t>Smart Irrigation from Soil Moisture Forecast Using Satellite and Hydro-Meteorological Modelling</w:t>
            </w:r>
          </w:p>
        </w:tc>
        <w:tc>
          <w:tcPr>
            <w:tcW w:w="740" w:type="dxa"/>
            <w:vMerge w:val="restart"/>
            <w:tcBorders>
              <w:top w:val="nil"/>
              <w:left w:val="single" w:sz="8" w:space="0" w:color="0070C0"/>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36m</w:t>
            </w:r>
          </w:p>
        </w:tc>
        <w:tc>
          <w:tcPr>
            <w:tcW w:w="1736" w:type="dxa"/>
            <w:tcBorders>
              <w:top w:val="single" w:sz="8" w:space="0" w:color="0070C0"/>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Marco Mancini</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b/>
                <w:bCs/>
                <w:color w:val="000000"/>
                <w:sz w:val="14"/>
                <w:szCs w:val="14"/>
                <w:lang w:eastAsia="pt-PT"/>
              </w:rPr>
            </w:pPr>
            <w:r w:rsidRPr="00826F43">
              <w:rPr>
                <w:rFonts w:ascii="Calibri" w:eastAsia="Times New Roman" w:hAnsi="Calibri" w:cs="Times New Roman"/>
                <w:b/>
                <w:bCs/>
                <w:color w:val="000000"/>
                <w:sz w:val="14"/>
                <w:szCs w:val="14"/>
                <w:lang w:eastAsia="pt-PT"/>
              </w:rPr>
              <w:t>Politecnico di Milano</w:t>
            </w:r>
          </w:p>
        </w:tc>
        <w:tc>
          <w:tcPr>
            <w:tcW w:w="1120" w:type="dxa"/>
            <w:tcBorders>
              <w:top w:val="single" w:sz="8" w:space="0" w:color="0070C0"/>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b/>
                <w:bCs/>
                <w:color w:val="000000"/>
                <w:sz w:val="14"/>
                <w:szCs w:val="14"/>
                <w:lang w:eastAsia="pt-PT"/>
              </w:rPr>
            </w:pPr>
            <w:r w:rsidRPr="00826F43">
              <w:rPr>
                <w:rFonts w:ascii="Calibri" w:eastAsia="Times New Roman" w:hAnsi="Calibri" w:cs="Times New Roman"/>
                <w:b/>
                <w:bCs/>
                <w:color w:val="000000"/>
                <w:sz w:val="14"/>
                <w:szCs w:val="14"/>
                <w:lang w:eastAsia="pt-PT"/>
              </w:rPr>
              <w:t>Italy</w:t>
            </w:r>
          </w:p>
        </w:tc>
      </w:tr>
      <w:tr w:rsidR="00826F43" w:rsidRPr="00826F43" w:rsidTr="00826F43">
        <w:trPr>
          <w:trHeight w:val="270"/>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Giacomo Branca</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Università della Tuscia</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Italy</w:t>
            </w:r>
          </w:p>
        </w:tc>
      </w:tr>
      <w:tr w:rsidR="00826F43" w:rsidRPr="00826F43" w:rsidTr="00826F43">
        <w:trPr>
          <w:trHeight w:val="270"/>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Massimo Menenti</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Delft University of Technology</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The Netherlands</w:t>
            </w:r>
          </w:p>
        </w:tc>
      </w:tr>
      <w:tr w:rsidR="00826F43" w:rsidRPr="00826F43" w:rsidTr="00826F43">
        <w:trPr>
          <w:trHeight w:val="270"/>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Li Jia</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RADI-CAS</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China</w:t>
            </w:r>
          </w:p>
        </w:tc>
      </w:tr>
      <w:tr w:rsidR="00826F43" w:rsidRPr="00826F43" w:rsidTr="00826F43">
        <w:trPr>
          <w:trHeight w:val="270"/>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Romualdo Romero</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val="en-US" w:eastAsia="pt-PT"/>
              </w:rPr>
            </w:pPr>
            <w:r w:rsidRPr="00826F43">
              <w:rPr>
                <w:rFonts w:ascii="Calibri" w:eastAsia="Times New Roman" w:hAnsi="Calibri" w:cs="Times New Roman"/>
                <w:color w:val="000000"/>
                <w:sz w:val="14"/>
                <w:szCs w:val="14"/>
                <w:lang w:val="en-US" w:eastAsia="pt-PT"/>
              </w:rPr>
              <w:t>University of the Balearic Islands</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Spain</w:t>
            </w:r>
          </w:p>
        </w:tc>
      </w:tr>
      <w:tr w:rsidR="00826F43" w:rsidRPr="00826F43" w:rsidTr="00826F43">
        <w:trPr>
          <w:trHeight w:val="270"/>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José A. Sobrino</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University of Valencia</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Spain</w:t>
            </w:r>
          </w:p>
        </w:tc>
      </w:tr>
      <w:tr w:rsidR="00826F43" w:rsidRPr="00826F43" w:rsidTr="00826F43">
        <w:trPr>
          <w:trHeight w:val="375"/>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Stefania Meucci</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Modellistica e Monitoraggio Idrologico</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Italy</w:t>
            </w:r>
          </w:p>
        </w:tc>
      </w:tr>
      <w:tr w:rsidR="00826F43" w:rsidRPr="00826F43" w:rsidTr="00826F43">
        <w:trPr>
          <w:trHeight w:val="555"/>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nil"/>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Raffaele Salerno</w:t>
            </w:r>
          </w:p>
        </w:tc>
        <w:tc>
          <w:tcPr>
            <w:tcW w:w="1823" w:type="dxa"/>
            <w:tcBorders>
              <w:top w:val="nil"/>
              <w:left w:val="nil"/>
              <w:bottom w:val="nil"/>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Meteo Operations Italia - Centro Epson</w:t>
            </w:r>
            <w:r w:rsidRPr="00826F43">
              <w:rPr>
                <w:rFonts w:ascii="Calibri" w:eastAsia="Times New Roman" w:hAnsi="Calibri" w:cs="Times New Roman"/>
                <w:color w:val="000000"/>
                <w:sz w:val="14"/>
                <w:szCs w:val="14"/>
                <w:lang w:eastAsia="pt-PT"/>
              </w:rPr>
              <w:br/>
              <w:t>Meteo</w:t>
            </w:r>
          </w:p>
        </w:tc>
        <w:tc>
          <w:tcPr>
            <w:tcW w:w="1120" w:type="dxa"/>
            <w:tcBorders>
              <w:top w:val="nil"/>
              <w:left w:val="nil"/>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Italy</w:t>
            </w:r>
          </w:p>
        </w:tc>
      </w:tr>
      <w:tr w:rsidR="00826F43" w:rsidRPr="00826F43" w:rsidTr="00826F43">
        <w:trPr>
          <w:trHeight w:val="375"/>
          <w:jc w:val="center"/>
        </w:trPr>
        <w:tc>
          <w:tcPr>
            <w:tcW w:w="1900" w:type="dxa"/>
            <w:vMerge w:val="restart"/>
            <w:tcBorders>
              <w:top w:val="nil"/>
              <w:left w:val="single" w:sz="8" w:space="0" w:color="0070C0"/>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jc w:val="center"/>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STEEP STREAMS</w:t>
            </w:r>
          </w:p>
        </w:tc>
        <w:tc>
          <w:tcPr>
            <w:tcW w:w="2401" w:type="dxa"/>
            <w:vMerge w:val="restart"/>
            <w:tcBorders>
              <w:top w:val="nil"/>
              <w:left w:val="single" w:sz="8" w:space="0" w:color="0070C0"/>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jc w:val="center"/>
              <w:rPr>
                <w:rFonts w:ascii="Gill Sans MT" w:eastAsia="Times New Roman" w:hAnsi="Gill Sans MT" w:cs="Times New Roman"/>
                <w:color w:val="000000"/>
                <w:sz w:val="14"/>
                <w:szCs w:val="14"/>
                <w:lang w:val="en-US" w:eastAsia="pt-PT"/>
              </w:rPr>
            </w:pPr>
            <w:r w:rsidRPr="00826F43">
              <w:rPr>
                <w:rFonts w:ascii="Gill Sans MT" w:eastAsia="Times New Roman" w:hAnsi="Gill Sans MT" w:cs="Times New Roman"/>
                <w:color w:val="000000"/>
                <w:sz w:val="14"/>
                <w:szCs w:val="14"/>
                <w:lang w:val="en-US" w:eastAsia="pt-PT"/>
              </w:rPr>
              <w:t>Solid Transport Evaluation and Efficiency in Prevention: Sustainable Techniques of Rational Engineering and Advanced MethodS</w:t>
            </w:r>
          </w:p>
        </w:tc>
        <w:tc>
          <w:tcPr>
            <w:tcW w:w="740" w:type="dxa"/>
            <w:vMerge w:val="restart"/>
            <w:tcBorders>
              <w:top w:val="nil"/>
              <w:left w:val="single" w:sz="8" w:space="0" w:color="0070C0"/>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24m</w:t>
            </w:r>
          </w:p>
        </w:tc>
        <w:tc>
          <w:tcPr>
            <w:tcW w:w="1736" w:type="dxa"/>
            <w:tcBorders>
              <w:top w:val="single" w:sz="8" w:space="0" w:color="0070C0"/>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Aronne A. Armanini</w:t>
            </w:r>
          </w:p>
        </w:tc>
        <w:tc>
          <w:tcPr>
            <w:tcW w:w="1823" w:type="dxa"/>
            <w:tcBorders>
              <w:top w:val="single" w:sz="8" w:space="0" w:color="0070C0"/>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b/>
                <w:bCs/>
                <w:color w:val="000000"/>
                <w:sz w:val="14"/>
                <w:szCs w:val="14"/>
                <w:lang w:eastAsia="pt-PT"/>
              </w:rPr>
            </w:pPr>
            <w:r w:rsidRPr="00826F43">
              <w:rPr>
                <w:rFonts w:ascii="Calibri" w:eastAsia="Times New Roman" w:hAnsi="Calibri" w:cs="Times New Roman"/>
                <w:b/>
                <w:bCs/>
                <w:color w:val="000000"/>
                <w:sz w:val="14"/>
                <w:szCs w:val="14"/>
                <w:lang w:eastAsia="pt-PT"/>
              </w:rPr>
              <w:t>Universita' degli Studi di Trento</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b/>
                <w:bCs/>
                <w:color w:val="000000"/>
                <w:sz w:val="14"/>
                <w:szCs w:val="14"/>
                <w:lang w:eastAsia="pt-PT"/>
              </w:rPr>
            </w:pPr>
            <w:r w:rsidRPr="00826F43">
              <w:rPr>
                <w:rFonts w:ascii="Calibri" w:eastAsia="Times New Roman" w:hAnsi="Calibri" w:cs="Times New Roman"/>
                <w:b/>
                <w:bCs/>
                <w:color w:val="000000"/>
                <w:sz w:val="14"/>
                <w:szCs w:val="14"/>
                <w:lang w:eastAsia="pt-PT"/>
              </w:rPr>
              <w:t>Italy</w:t>
            </w:r>
          </w:p>
        </w:tc>
      </w:tr>
      <w:tr w:rsidR="00826F43" w:rsidRPr="00826F43" w:rsidTr="00826F43">
        <w:trPr>
          <w:trHeight w:val="270"/>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Giuliano Di Baldassarre</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Uppsala Universitet</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Sweden</w:t>
            </w:r>
          </w:p>
        </w:tc>
      </w:tr>
      <w:tr w:rsidR="00826F43" w:rsidRPr="00826F43" w:rsidTr="00826F43">
        <w:trPr>
          <w:trHeight w:val="375"/>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nil"/>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Antonio Heleno Cardoso</w:t>
            </w:r>
          </w:p>
        </w:tc>
        <w:tc>
          <w:tcPr>
            <w:tcW w:w="1823" w:type="dxa"/>
            <w:tcBorders>
              <w:top w:val="nil"/>
              <w:left w:val="nil"/>
              <w:bottom w:val="nil"/>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CEris, IST-ID, Universidade de Lisboa</w:t>
            </w:r>
          </w:p>
        </w:tc>
        <w:tc>
          <w:tcPr>
            <w:tcW w:w="1120" w:type="dxa"/>
            <w:tcBorders>
              <w:top w:val="nil"/>
              <w:left w:val="nil"/>
              <w:bottom w:val="nil"/>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Portugal</w:t>
            </w:r>
          </w:p>
        </w:tc>
      </w:tr>
      <w:tr w:rsidR="00826F43" w:rsidRPr="00826F43" w:rsidTr="00826F43">
        <w:trPr>
          <w:trHeight w:val="375"/>
          <w:jc w:val="center"/>
        </w:trPr>
        <w:tc>
          <w:tcPr>
            <w:tcW w:w="1900" w:type="dxa"/>
            <w:vMerge w:val="restart"/>
            <w:tcBorders>
              <w:top w:val="nil"/>
              <w:left w:val="single" w:sz="8" w:space="0" w:color="0070C0"/>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TH.E.R.BIO.R</w:t>
            </w:r>
          </w:p>
        </w:tc>
        <w:tc>
          <w:tcPr>
            <w:tcW w:w="2401" w:type="dxa"/>
            <w:vMerge w:val="restart"/>
            <w:tcBorders>
              <w:top w:val="nil"/>
              <w:left w:val="single" w:sz="8" w:space="0" w:color="0070C0"/>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jc w:val="center"/>
              <w:rPr>
                <w:rFonts w:ascii="Gill Sans MT" w:eastAsia="Times New Roman" w:hAnsi="Gill Sans MT" w:cs="Times New Roman"/>
                <w:color w:val="000000"/>
                <w:sz w:val="14"/>
                <w:szCs w:val="14"/>
                <w:lang w:val="en-US" w:eastAsia="pt-PT"/>
              </w:rPr>
            </w:pPr>
            <w:r w:rsidRPr="00826F43">
              <w:rPr>
                <w:rFonts w:ascii="Gill Sans MT" w:eastAsia="Times New Roman" w:hAnsi="Gill Sans MT" w:cs="Times New Roman"/>
                <w:color w:val="000000"/>
                <w:sz w:val="14"/>
                <w:szCs w:val="14"/>
                <w:lang w:val="en-US" w:eastAsia="pt-PT"/>
              </w:rPr>
              <w:t>Thermal Energy Recovery from a Novel Sequencing Batch Biofilter Granular Reactor</w:t>
            </w:r>
          </w:p>
        </w:tc>
        <w:tc>
          <w:tcPr>
            <w:tcW w:w="740" w:type="dxa"/>
            <w:vMerge w:val="restart"/>
            <w:tcBorders>
              <w:top w:val="nil"/>
              <w:left w:val="single" w:sz="8" w:space="0" w:color="0070C0"/>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24m</w:t>
            </w:r>
          </w:p>
        </w:tc>
        <w:tc>
          <w:tcPr>
            <w:tcW w:w="1736" w:type="dxa"/>
            <w:tcBorders>
              <w:top w:val="single" w:sz="8" w:space="0" w:color="0070C0"/>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Franceisco Javier Batlles Garrido</w:t>
            </w:r>
          </w:p>
        </w:tc>
        <w:tc>
          <w:tcPr>
            <w:tcW w:w="1823" w:type="dxa"/>
            <w:tcBorders>
              <w:top w:val="single" w:sz="8" w:space="0" w:color="0070C0"/>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b/>
                <w:bCs/>
                <w:color w:val="000000"/>
                <w:sz w:val="14"/>
                <w:szCs w:val="14"/>
                <w:lang w:eastAsia="pt-PT"/>
              </w:rPr>
            </w:pPr>
            <w:r w:rsidRPr="00826F43">
              <w:rPr>
                <w:rFonts w:ascii="Calibri" w:eastAsia="Times New Roman" w:hAnsi="Calibri" w:cs="Times New Roman"/>
                <w:b/>
                <w:bCs/>
                <w:color w:val="000000"/>
                <w:sz w:val="14"/>
                <w:szCs w:val="14"/>
                <w:lang w:eastAsia="pt-PT"/>
              </w:rPr>
              <w:t>University of Almeria (UAL)</w:t>
            </w:r>
          </w:p>
        </w:tc>
        <w:tc>
          <w:tcPr>
            <w:tcW w:w="1120" w:type="dxa"/>
            <w:tcBorders>
              <w:top w:val="single" w:sz="8" w:space="0" w:color="0070C0"/>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b/>
                <w:bCs/>
                <w:color w:val="000000"/>
                <w:sz w:val="14"/>
                <w:szCs w:val="14"/>
                <w:lang w:eastAsia="pt-PT"/>
              </w:rPr>
            </w:pPr>
            <w:r w:rsidRPr="00826F43">
              <w:rPr>
                <w:rFonts w:ascii="Calibri" w:eastAsia="Times New Roman" w:hAnsi="Calibri" w:cs="Times New Roman"/>
                <w:b/>
                <w:bCs/>
                <w:color w:val="000000"/>
                <w:sz w:val="14"/>
                <w:szCs w:val="14"/>
                <w:lang w:eastAsia="pt-PT"/>
              </w:rPr>
              <w:t>Spain</w:t>
            </w:r>
          </w:p>
        </w:tc>
      </w:tr>
      <w:tr w:rsidR="00826F43" w:rsidRPr="00826F43" w:rsidTr="00826F43">
        <w:trPr>
          <w:trHeight w:val="555"/>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Claudio Di Iaconi</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val="en-US" w:eastAsia="pt-PT"/>
              </w:rPr>
            </w:pPr>
            <w:r w:rsidRPr="00826F43">
              <w:rPr>
                <w:rFonts w:ascii="Calibri" w:eastAsia="Times New Roman" w:hAnsi="Calibri" w:cs="Times New Roman"/>
                <w:color w:val="000000"/>
                <w:sz w:val="14"/>
                <w:szCs w:val="14"/>
                <w:lang w:val="en-US" w:eastAsia="pt-PT"/>
              </w:rPr>
              <w:t>CNR-IRSA National Research Council- Water Research Institute</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Italy</w:t>
            </w:r>
          </w:p>
        </w:tc>
      </w:tr>
      <w:tr w:rsidR="00826F43" w:rsidRPr="00826F43" w:rsidTr="00826F43">
        <w:trPr>
          <w:trHeight w:val="270"/>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Ivan Munoz</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2.0.-LCA Consultants</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Denmark</w:t>
            </w:r>
          </w:p>
        </w:tc>
      </w:tr>
      <w:tr w:rsidR="00826F43" w:rsidRPr="00826F43" w:rsidTr="00826F43">
        <w:trPr>
          <w:trHeight w:val="375"/>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Inaki Acasuso Perez</w:t>
            </w:r>
          </w:p>
        </w:tc>
        <w:tc>
          <w:tcPr>
            <w:tcW w:w="1823" w:type="dxa"/>
            <w:tcBorders>
              <w:top w:val="nil"/>
              <w:left w:val="nil"/>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Hedera Helix Ingenieria y Biotecnologia S.L.</w:t>
            </w:r>
          </w:p>
        </w:tc>
        <w:tc>
          <w:tcPr>
            <w:tcW w:w="1120" w:type="dxa"/>
            <w:tcBorders>
              <w:top w:val="nil"/>
              <w:left w:val="nil"/>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Spain</w:t>
            </w:r>
          </w:p>
        </w:tc>
      </w:tr>
      <w:tr w:rsidR="00826F43" w:rsidRPr="00826F43" w:rsidTr="00826F43">
        <w:trPr>
          <w:trHeight w:val="375"/>
          <w:jc w:val="center"/>
        </w:trPr>
        <w:tc>
          <w:tcPr>
            <w:tcW w:w="1900" w:type="dxa"/>
            <w:vMerge w:val="restart"/>
            <w:tcBorders>
              <w:top w:val="nil"/>
              <w:left w:val="single" w:sz="8" w:space="0" w:color="0070C0"/>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watintech</w:t>
            </w:r>
          </w:p>
        </w:tc>
        <w:tc>
          <w:tcPr>
            <w:tcW w:w="2401" w:type="dxa"/>
            <w:vMerge w:val="restart"/>
            <w:tcBorders>
              <w:top w:val="nil"/>
              <w:left w:val="single" w:sz="8" w:space="0" w:color="0070C0"/>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jc w:val="center"/>
              <w:rPr>
                <w:rFonts w:ascii="Gill Sans MT" w:eastAsia="Times New Roman" w:hAnsi="Gill Sans MT" w:cs="Times New Roman"/>
                <w:color w:val="000000"/>
                <w:sz w:val="14"/>
                <w:szCs w:val="14"/>
                <w:lang w:val="en-US" w:eastAsia="pt-PT"/>
              </w:rPr>
            </w:pPr>
            <w:r w:rsidRPr="00826F43">
              <w:rPr>
                <w:rFonts w:ascii="Gill Sans MT" w:eastAsia="Times New Roman" w:hAnsi="Gill Sans MT" w:cs="Times New Roman"/>
                <w:color w:val="000000"/>
                <w:sz w:val="14"/>
                <w:szCs w:val="14"/>
                <w:lang w:val="en-US" w:eastAsia="pt-PT"/>
              </w:rPr>
              <w:t>Smart decentralized water management through a dynamic integration of tecnologies</w:t>
            </w:r>
          </w:p>
        </w:tc>
        <w:tc>
          <w:tcPr>
            <w:tcW w:w="740" w:type="dxa"/>
            <w:vMerge w:val="restart"/>
            <w:tcBorders>
              <w:top w:val="nil"/>
              <w:left w:val="single" w:sz="8" w:space="0" w:color="0070C0"/>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36m</w:t>
            </w: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Ignasi Rodriguez-Roda Layret</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b/>
                <w:bCs/>
                <w:color w:val="000000"/>
                <w:sz w:val="14"/>
                <w:szCs w:val="14"/>
                <w:lang w:val="en-US" w:eastAsia="pt-PT"/>
              </w:rPr>
            </w:pPr>
            <w:r w:rsidRPr="00826F43">
              <w:rPr>
                <w:rFonts w:ascii="Calibri" w:eastAsia="Times New Roman" w:hAnsi="Calibri" w:cs="Times New Roman"/>
                <w:b/>
                <w:bCs/>
                <w:color w:val="000000"/>
                <w:sz w:val="14"/>
                <w:szCs w:val="14"/>
                <w:lang w:val="en-US" w:eastAsia="pt-PT"/>
              </w:rPr>
              <w:t>Catalan Institute for Water Research (ICRA)</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b/>
                <w:bCs/>
                <w:color w:val="000000"/>
                <w:sz w:val="14"/>
                <w:szCs w:val="14"/>
                <w:lang w:eastAsia="pt-PT"/>
              </w:rPr>
            </w:pPr>
            <w:r w:rsidRPr="00826F43">
              <w:rPr>
                <w:rFonts w:ascii="Calibri" w:eastAsia="Times New Roman" w:hAnsi="Calibri" w:cs="Times New Roman"/>
                <w:b/>
                <w:bCs/>
                <w:color w:val="000000"/>
                <w:sz w:val="14"/>
                <w:szCs w:val="14"/>
                <w:lang w:eastAsia="pt-PT"/>
              </w:rPr>
              <w:t>Spain</w:t>
            </w:r>
          </w:p>
        </w:tc>
      </w:tr>
      <w:tr w:rsidR="00826F43" w:rsidRPr="00826F43" w:rsidTr="00826F43">
        <w:trPr>
          <w:trHeight w:val="270"/>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Teresa de la Torre Garcia</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ACCIONA Agua S.A.</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Spain</w:t>
            </w:r>
          </w:p>
        </w:tc>
      </w:tr>
      <w:tr w:rsidR="00826F43" w:rsidRPr="00826F43" w:rsidTr="00826F43">
        <w:trPr>
          <w:trHeight w:val="270"/>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Giuseppe Luigi Cirelli</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Universita' di Catania (UNICT)</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Italy</w:t>
            </w:r>
          </w:p>
        </w:tc>
      </w:tr>
      <w:tr w:rsidR="00826F43" w:rsidRPr="00826F43" w:rsidTr="00826F43">
        <w:trPr>
          <w:trHeight w:val="375"/>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Krist V. Gernaey</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val="en-US" w:eastAsia="pt-PT"/>
              </w:rPr>
            </w:pPr>
            <w:r w:rsidRPr="00826F43">
              <w:rPr>
                <w:rFonts w:ascii="Calibri" w:eastAsia="Times New Roman" w:hAnsi="Calibri" w:cs="Times New Roman"/>
                <w:color w:val="000000"/>
                <w:sz w:val="14"/>
                <w:szCs w:val="14"/>
                <w:lang w:val="en-US" w:eastAsia="pt-PT"/>
              </w:rPr>
              <w:t>Technical University of Denmark (DTU)</w:t>
            </w:r>
          </w:p>
        </w:tc>
        <w:tc>
          <w:tcPr>
            <w:tcW w:w="1120" w:type="dxa"/>
            <w:tcBorders>
              <w:top w:val="nil"/>
              <w:left w:val="nil"/>
              <w:bottom w:val="single" w:sz="4" w:space="0" w:color="auto"/>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Denmark</w:t>
            </w:r>
          </w:p>
        </w:tc>
      </w:tr>
      <w:tr w:rsidR="00826F43" w:rsidRPr="00826F43" w:rsidTr="00826F43">
        <w:trPr>
          <w:trHeight w:val="375"/>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Adrian Oehmen</w:t>
            </w:r>
          </w:p>
        </w:tc>
        <w:tc>
          <w:tcPr>
            <w:tcW w:w="1823" w:type="dxa"/>
            <w:tcBorders>
              <w:top w:val="nil"/>
              <w:left w:val="nil"/>
              <w:bottom w:val="nil"/>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NOVA.ID. FCT Universidade Nova de Lisboa</w:t>
            </w:r>
          </w:p>
        </w:tc>
        <w:tc>
          <w:tcPr>
            <w:tcW w:w="1120" w:type="dxa"/>
            <w:tcBorders>
              <w:top w:val="nil"/>
              <w:left w:val="nil"/>
              <w:bottom w:val="nil"/>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Portugal</w:t>
            </w:r>
          </w:p>
        </w:tc>
      </w:tr>
      <w:tr w:rsidR="00826F43" w:rsidRPr="00826F43" w:rsidTr="00826F43">
        <w:trPr>
          <w:trHeight w:val="270"/>
          <w:jc w:val="center"/>
        </w:trPr>
        <w:tc>
          <w:tcPr>
            <w:tcW w:w="1900" w:type="dxa"/>
            <w:vMerge w:val="restart"/>
            <w:tcBorders>
              <w:top w:val="nil"/>
              <w:left w:val="single" w:sz="8" w:space="0" w:color="0070C0"/>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WE-NEED</w:t>
            </w:r>
          </w:p>
        </w:tc>
        <w:tc>
          <w:tcPr>
            <w:tcW w:w="2401" w:type="dxa"/>
            <w:vMerge w:val="restart"/>
            <w:tcBorders>
              <w:top w:val="nil"/>
              <w:left w:val="single" w:sz="8" w:space="0" w:color="0070C0"/>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jc w:val="center"/>
              <w:rPr>
                <w:rFonts w:ascii="Gill Sans MT" w:eastAsia="Times New Roman" w:hAnsi="Gill Sans MT" w:cs="Times New Roman"/>
                <w:color w:val="000000"/>
                <w:sz w:val="14"/>
                <w:szCs w:val="14"/>
                <w:lang w:val="en-US" w:eastAsia="pt-PT"/>
              </w:rPr>
            </w:pPr>
            <w:r w:rsidRPr="00826F43">
              <w:rPr>
                <w:rFonts w:ascii="Gill Sans MT" w:eastAsia="Times New Roman" w:hAnsi="Gill Sans MT" w:cs="Times New Roman"/>
                <w:color w:val="000000"/>
                <w:sz w:val="14"/>
                <w:szCs w:val="14"/>
                <w:lang w:val="en-US" w:eastAsia="pt-PT"/>
              </w:rPr>
              <w:t>WatEr NEEDs, availability, quality and sustainability</w:t>
            </w:r>
          </w:p>
        </w:tc>
        <w:tc>
          <w:tcPr>
            <w:tcW w:w="740" w:type="dxa"/>
            <w:vMerge w:val="restart"/>
            <w:tcBorders>
              <w:top w:val="nil"/>
              <w:left w:val="single" w:sz="8" w:space="0" w:color="0070C0"/>
              <w:bottom w:val="single" w:sz="8" w:space="0" w:color="0070C0"/>
              <w:right w:val="single" w:sz="8" w:space="0" w:color="0070C0"/>
            </w:tcBorders>
            <w:shd w:val="clear" w:color="auto" w:fill="auto"/>
            <w:noWrap/>
            <w:vAlign w:val="center"/>
            <w:hideMark/>
          </w:tcPr>
          <w:p w:rsidR="00826F43" w:rsidRPr="00826F43" w:rsidRDefault="00826F43" w:rsidP="00826F43">
            <w:pPr>
              <w:spacing w:after="0" w:line="240" w:lineRule="auto"/>
              <w:jc w:val="center"/>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36m</w:t>
            </w: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r w:rsidRPr="00826F43">
              <w:rPr>
                <w:rFonts w:ascii="Gill Sans MT" w:eastAsia="Times New Roman" w:hAnsi="Gill Sans MT" w:cs="Times New Roman"/>
                <w:b/>
                <w:bCs/>
                <w:color w:val="000000"/>
                <w:sz w:val="14"/>
                <w:szCs w:val="14"/>
                <w:lang w:eastAsia="pt-PT"/>
              </w:rPr>
              <w:t>Monica Riva</w:t>
            </w:r>
          </w:p>
        </w:tc>
        <w:tc>
          <w:tcPr>
            <w:tcW w:w="1823" w:type="dxa"/>
            <w:tcBorders>
              <w:top w:val="single" w:sz="8" w:space="0" w:color="0070C0"/>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b/>
                <w:bCs/>
                <w:color w:val="000000"/>
                <w:sz w:val="14"/>
                <w:szCs w:val="14"/>
                <w:lang w:eastAsia="pt-PT"/>
              </w:rPr>
            </w:pPr>
            <w:r w:rsidRPr="00826F43">
              <w:rPr>
                <w:rFonts w:ascii="Calibri" w:eastAsia="Times New Roman" w:hAnsi="Calibri" w:cs="Times New Roman"/>
                <w:b/>
                <w:bCs/>
                <w:color w:val="000000"/>
                <w:sz w:val="14"/>
                <w:szCs w:val="14"/>
                <w:lang w:eastAsia="pt-PT"/>
              </w:rPr>
              <w:t>Politecnico di Milano</w:t>
            </w:r>
          </w:p>
        </w:tc>
        <w:tc>
          <w:tcPr>
            <w:tcW w:w="1120" w:type="dxa"/>
            <w:tcBorders>
              <w:top w:val="single" w:sz="8" w:space="0" w:color="0070C0"/>
              <w:left w:val="nil"/>
              <w:bottom w:val="single" w:sz="4" w:space="0" w:color="auto"/>
              <w:right w:val="nil"/>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b/>
                <w:bCs/>
                <w:color w:val="000000"/>
                <w:sz w:val="14"/>
                <w:szCs w:val="14"/>
                <w:lang w:eastAsia="pt-PT"/>
              </w:rPr>
            </w:pPr>
            <w:r w:rsidRPr="00826F43">
              <w:rPr>
                <w:rFonts w:ascii="Calibri" w:eastAsia="Times New Roman" w:hAnsi="Calibri" w:cs="Times New Roman"/>
                <w:b/>
                <w:bCs/>
                <w:color w:val="000000"/>
                <w:sz w:val="14"/>
                <w:szCs w:val="14"/>
                <w:lang w:eastAsia="pt-PT"/>
              </w:rPr>
              <w:t>Italy</w:t>
            </w:r>
          </w:p>
        </w:tc>
      </w:tr>
      <w:tr w:rsidR="00826F43" w:rsidRPr="00826F43" w:rsidTr="00826F43">
        <w:trPr>
          <w:trHeight w:val="270"/>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Brian Berkowitz</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Weizmann Institute of Science</w:t>
            </w:r>
          </w:p>
        </w:tc>
        <w:tc>
          <w:tcPr>
            <w:tcW w:w="1120" w:type="dxa"/>
            <w:tcBorders>
              <w:top w:val="nil"/>
              <w:left w:val="nil"/>
              <w:bottom w:val="single" w:sz="4" w:space="0" w:color="auto"/>
              <w:right w:val="nil"/>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Israel</w:t>
            </w:r>
          </w:p>
        </w:tc>
      </w:tr>
      <w:tr w:rsidR="00826F43" w:rsidRPr="00826F43" w:rsidTr="00826F43">
        <w:trPr>
          <w:trHeight w:val="270"/>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Susana Loureiro</w:t>
            </w:r>
          </w:p>
        </w:tc>
        <w:tc>
          <w:tcPr>
            <w:tcW w:w="1823" w:type="dxa"/>
            <w:tcBorders>
              <w:top w:val="nil"/>
              <w:left w:val="nil"/>
              <w:bottom w:val="single" w:sz="4" w:space="0" w:color="auto"/>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Universidade de Aveiro</w:t>
            </w:r>
          </w:p>
        </w:tc>
        <w:tc>
          <w:tcPr>
            <w:tcW w:w="1120" w:type="dxa"/>
            <w:tcBorders>
              <w:top w:val="nil"/>
              <w:left w:val="nil"/>
              <w:bottom w:val="single" w:sz="4" w:space="0" w:color="auto"/>
              <w:right w:val="nil"/>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Portugal</w:t>
            </w:r>
          </w:p>
        </w:tc>
      </w:tr>
      <w:tr w:rsidR="00826F43" w:rsidRPr="00826F43" w:rsidTr="00826F43">
        <w:trPr>
          <w:trHeight w:val="375"/>
          <w:jc w:val="center"/>
        </w:trPr>
        <w:tc>
          <w:tcPr>
            <w:tcW w:w="190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b/>
                <w:bCs/>
                <w:color w:val="000000"/>
                <w:sz w:val="14"/>
                <w:szCs w:val="14"/>
                <w:lang w:eastAsia="pt-PT"/>
              </w:rPr>
            </w:pPr>
          </w:p>
        </w:tc>
        <w:tc>
          <w:tcPr>
            <w:tcW w:w="2401"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740" w:type="dxa"/>
            <w:vMerge/>
            <w:tcBorders>
              <w:top w:val="nil"/>
              <w:left w:val="single" w:sz="8" w:space="0" w:color="0070C0"/>
              <w:bottom w:val="single" w:sz="8" w:space="0" w:color="0070C0"/>
              <w:right w:val="single" w:sz="8" w:space="0" w:color="0070C0"/>
            </w:tcBorders>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p>
        </w:tc>
        <w:tc>
          <w:tcPr>
            <w:tcW w:w="1736" w:type="dxa"/>
            <w:tcBorders>
              <w:top w:val="nil"/>
              <w:left w:val="nil"/>
              <w:bottom w:val="single" w:sz="8" w:space="0" w:color="0070C0"/>
              <w:right w:val="single" w:sz="8" w:space="0" w:color="0070C0"/>
            </w:tcBorders>
            <w:shd w:val="clear" w:color="auto" w:fill="auto"/>
            <w:vAlign w:val="center"/>
            <w:hideMark/>
          </w:tcPr>
          <w:p w:rsidR="00826F43" w:rsidRPr="00826F43" w:rsidRDefault="00826F43" w:rsidP="00826F43">
            <w:pPr>
              <w:spacing w:after="0" w:line="240" w:lineRule="auto"/>
              <w:rPr>
                <w:rFonts w:ascii="Gill Sans MT" w:eastAsia="Times New Roman" w:hAnsi="Gill Sans MT" w:cs="Times New Roman"/>
                <w:color w:val="000000"/>
                <w:sz w:val="14"/>
                <w:szCs w:val="14"/>
                <w:lang w:eastAsia="pt-PT"/>
              </w:rPr>
            </w:pPr>
            <w:r w:rsidRPr="00826F43">
              <w:rPr>
                <w:rFonts w:ascii="Gill Sans MT" w:eastAsia="Times New Roman" w:hAnsi="Gill Sans MT" w:cs="Times New Roman"/>
                <w:color w:val="000000"/>
                <w:sz w:val="14"/>
                <w:szCs w:val="14"/>
                <w:lang w:eastAsia="pt-PT"/>
              </w:rPr>
              <w:t>Daniel Fernandez-Garcia</w:t>
            </w:r>
          </w:p>
        </w:tc>
        <w:tc>
          <w:tcPr>
            <w:tcW w:w="1823" w:type="dxa"/>
            <w:tcBorders>
              <w:top w:val="nil"/>
              <w:left w:val="nil"/>
              <w:bottom w:val="nil"/>
              <w:right w:val="single" w:sz="8" w:space="0" w:color="0070C0"/>
            </w:tcBorders>
            <w:shd w:val="clear" w:color="auto" w:fill="auto"/>
            <w:vAlign w:val="center"/>
            <w:hideMark/>
          </w:tcPr>
          <w:p w:rsidR="00826F43" w:rsidRPr="00826F43" w:rsidRDefault="00826F43" w:rsidP="00826F43">
            <w:pPr>
              <w:spacing w:after="0" w:line="240" w:lineRule="auto"/>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Universitat Politecnica de Catalunya</w:t>
            </w:r>
          </w:p>
        </w:tc>
        <w:tc>
          <w:tcPr>
            <w:tcW w:w="1120" w:type="dxa"/>
            <w:tcBorders>
              <w:top w:val="nil"/>
              <w:left w:val="nil"/>
              <w:bottom w:val="nil"/>
              <w:right w:val="nil"/>
            </w:tcBorders>
            <w:shd w:val="clear" w:color="auto" w:fill="auto"/>
            <w:noWrap/>
            <w:vAlign w:val="center"/>
            <w:hideMark/>
          </w:tcPr>
          <w:p w:rsidR="00826F43" w:rsidRPr="00826F43" w:rsidRDefault="00826F43" w:rsidP="00826F43">
            <w:pPr>
              <w:spacing w:after="0" w:line="240" w:lineRule="auto"/>
              <w:jc w:val="center"/>
              <w:rPr>
                <w:rFonts w:ascii="Calibri" w:eastAsia="Times New Roman" w:hAnsi="Calibri" w:cs="Times New Roman"/>
                <w:color w:val="000000"/>
                <w:sz w:val="14"/>
                <w:szCs w:val="14"/>
                <w:lang w:eastAsia="pt-PT"/>
              </w:rPr>
            </w:pPr>
            <w:r w:rsidRPr="00826F43">
              <w:rPr>
                <w:rFonts w:ascii="Calibri" w:eastAsia="Times New Roman" w:hAnsi="Calibri" w:cs="Times New Roman"/>
                <w:color w:val="000000"/>
                <w:sz w:val="14"/>
                <w:szCs w:val="14"/>
                <w:lang w:eastAsia="pt-PT"/>
              </w:rPr>
              <w:t>Spain</w:t>
            </w:r>
          </w:p>
        </w:tc>
      </w:tr>
    </w:tbl>
    <w:p w:rsidR="00BE7CE1" w:rsidRDefault="00BE7CE1" w:rsidP="00781A64">
      <w:pPr>
        <w:jc w:val="both"/>
        <w:rPr>
          <w:lang w:val="en-US"/>
        </w:rPr>
      </w:pPr>
    </w:p>
    <w:p w:rsidR="00FD1297" w:rsidRPr="003C1DE8" w:rsidRDefault="00FD1297" w:rsidP="00607EC8">
      <w:pPr>
        <w:jc w:val="both"/>
        <w:rPr>
          <w:rFonts w:ascii="Gill Sans MT" w:hAnsi="Gill Sans MT"/>
          <w:lang w:val="en-GB"/>
        </w:rPr>
      </w:pPr>
      <w:r w:rsidRPr="003C1DE8">
        <w:rPr>
          <w:rFonts w:ascii="Gill Sans MT" w:hAnsi="Gill Sans MT"/>
          <w:lang w:val="en-US"/>
        </w:rPr>
        <w:t>Th</w:t>
      </w:r>
      <w:r w:rsidR="002643F1" w:rsidRPr="003C1DE8">
        <w:rPr>
          <w:rFonts w:ascii="Gill Sans MT" w:hAnsi="Gill Sans MT"/>
          <w:lang w:val="en-US"/>
        </w:rPr>
        <w:t>e funding of these projects</w:t>
      </w:r>
      <w:r w:rsidRPr="003C1DE8">
        <w:rPr>
          <w:rFonts w:ascii="Gill Sans MT" w:hAnsi="Gill Sans MT"/>
          <w:lang w:val="en-US"/>
        </w:rPr>
        <w:t xml:space="preserve"> involve all 17 Funding Partner Organisations (FPOs) from the 15 different countries participating in the call – with the European Commission participation: </w:t>
      </w:r>
      <w:r w:rsidRPr="003C1DE8">
        <w:rPr>
          <w:rFonts w:ascii="Gill Sans MT" w:hAnsi="Gill Sans MT"/>
          <w:lang w:val="en-GB"/>
        </w:rPr>
        <w:t xml:space="preserve">Belgium (French-speaking community) (F.R.S.-FNRS), Cyprus (RPF), Denmark (IFD), Estonia (MoE-EE and ETAg), Ireland (EPA), Israel (MoE-IL), Italy (MIUR), Moldova (CIP), Norway </w:t>
      </w:r>
      <w:r w:rsidRPr="003C1DE8">
        <w:rPr>
          <w:rFonts w:ascii="Gill Sans MT" w:hAnsi="Gill Sans MT"/>
          <w:lang w:val="en-GB"/>
        </w:rPr>
        <w:lastRenderedPageBreak/>
        <w:t>(RCN), Portugal (FCT), Romania (UEFISCDI), South Africa (WRC), Spain (MINECO and CDTI), Sweden (FORMAS) and The Netherlands (NWO).</w:t>
      </w:r>
    </w:p>
    <w:p w:rsidR="002643F1" w:rsidRPr="00A26F36" w:rsidRDefault="002643F1" w:rsidP="002643F1">
      <w:pPr>
        <w:jc w:val="both"/>
        <w:rPr>
          <w:rFonts w:ascii="Gill Sans MT" w:hAnsi="Gill Sans MT"/>
          <w:lang w:val="en-US"/>
        </w:rPr>
      </w:pPr>
      <w:r w:rsidRPr="00A26F36">
        <w:rPr>
          <w:rFonts w:ascii="Gill Sans MT" w:hAnsi="Gill Sans MT"/>
          <w:lang w:val="en-GB"/>
        </w:rPr>
        <w:t xml:space="preserve">Grants will be awarded to each consortia partner by their national funding organizations according to national rules and procedures. The </w:t>
      </w:r>
      <w:r w:rsidRPr="00A26F36">
        <w:rPr>
          <w:rFonts w:ascii="Gill Sans MT" w:hAnsi="Gill Sans MT"/>
          <w:lang w:val="en-US"/>
        </w:rPr>
        <w:t xml:space="preserve">kick-off </w:t>
      </w:r>
      <w:r w:rsidR="00C63EE4">
        <w:rPr>
          <w:rFonts w:ascii="Gill Sans MT" w:hAnsi="Gill Sans MT"/>
          <w:lang w:val="en-US"/>
        </w:rPr>
        <w:t xml:space="preserve">of the projects </w:t>
      </w:r>
      <w:r w:rsidRPr="00A26F36">
        <w:rPr>
          <w:rFonts w:ascii="Gill Sans MT" w:hAnsi="Gill Sans MT"/>
          <w:lang w:val="en-US"/>
        </w:rPr>
        <w:t xml:space="preserve">will be scheduled after the </w:t>
      </w:r>
      <w:r w:rsidRPr="00A26F36">
        <w:rPr>
          <w:rFonts w:ascii="Gill Sans MT" w:hAnsi="Gill Sans MT"/>
          <w:lang w:val="en-GB"/>
        </w:rPr>
        <w:t>conclusion of all national funding procedures and the signature of a Consortium Agreement between the consortia partners.</w:t>
      </w:r>
    </w:p>
    <w:p w:rsidR="002643F1" w:rsidRPr="00A26F36" w:rsidRDefault="002643F1">
      <w:pPr>
        <w:jc w:val="both"/>
        <w:rPr>
          <w:rFonts w:ascii="Gill Sans MT" w:hAnsi="Gill Sans MT"/>
          <w:lang w:val="en-US"/>
        </w:rPr>
      </w:pPr>
    </w:p>
    <w:p w:rsidR="002F7D39" w:rsidRPr="00A26F36" w:rsidRDefault="002F7D39" w:rsidP="002F7D39">
      <w:pPr>
        <w:pStyle w:val="Estilo2"/>
        <w:jc w:val="center"/>
        <w:rPr>
          <w:color w:val="0070C0"/>
          <w:sz w:val="22"/>
        </w:rPr>
      </w:pPr>
      <w:bookmarkStart w:id="0" w:name="_Toc427749641"/>
      <w:r w:rsidRPr="00A26F36">
        <w:rPr>
          <w:color w:val="0070C0"/>
          <w:sz w:val="22"/>
        </w:rPr>
        <w:t>Call Statistics</w:t>
      </w:r>
      <w:bookmarkEnd w:id="0"/>
    </w:p>
    <w:p w:rsidR="002F7D39" w:rsidRPr="00A26F36" w:rsidRDefault="002F7D39" w:rsidP="002F7D39">
      <w:pPr>
        <w:pStyle w:val="Estilo2"/>
        <w:rPr>
          <w:b w:val="0"/>
          <w:color w:val="auto"/>
          <w:sz w:val="22"/>
        </w:rPr>
      </w:pPr>
    </w:p>
    <w:p w:rsidR="00A61DBC" w:rsidRPr="00A26F36" w:rsidRDefault="00A26F36" w:rsidP="00A26F36">
      <w:pPr>
        <w:spacing w:after="0"/>
        <w:jc w:val="both"/>
        <w:rPr>
          <w:rFonts w:ascii="Gill Sans MT" w:hAnsi="Gill Sans MT"/>
          <w:lang w:val="en-US"/>
        </w:rPr>
      </w:pPr>
      <w:r>
        <w:rPr>
          <w:rFonts w:ascii="Gill Sans MT" w:hAnsi="Gill Sans MT"/>
          <w:lang w:val="en-US"/>
        </w:rPr>
        <w:t>A total of</w:t>
      </w:r>
      <w:r w:rsidRPr="00A26F36">
        <w:rPr>
          <w:rFonts w:ascii="Gill Sans MT" w:hAnsi="Gill Sans MT"/>
          <w:lang w:val="en-US"/>
        </w:rPr>
        <w:t xml:space="preserve"> 118 pre-proposals were successfully submitted</w:t>
      </w:r>
      <w:r>
        <w:rPr>
          <w:rFonts w:ascii="Gill Sans MT" w:hAnsi="Gill Sans MT"/>
          <w:lang w:val="en-US"/>
        </w:rPr>
        <w:t xml:space="preserve"> to the Water Works2014 ERA-NET Cofund, the Water JPI 2015 Joint Call</w:t>
      </w:r>
      <w:r w:rsidRPr="00A26F36">
        <w:rPr>
          <w:rFonts w:ascii="Gill Sans MT" w:hAnsi="Gill Sans MT"/>
          <w:lang w:val="en-US"/>
        </w:rPr>
        <w:t>.</w:t>
      </w:r>
      <w:r w:rsidR="0061657F">
        <w:rPr>
          <w:rFonts w:ascii="Gill Sans MT" w:hAnsi="Gill Sans MT"/>
          <w:lang w:val="en-US"/>
        </w:rPr>
        <w:t xml:space="preserve"> </w:t>
      </w:r>
      <w:r w:rsidR="00A61DBC">
        <w:rPr>
          <w:rFonts w:ascii="Gill Sans MT" w:hAnsi="Gill Sans MT"/>
          <w:lang w:val="en-US"/>
        </w:rPr>
        <w:t>In Table 1 are depicted the key figures in this Two Step Evaluation Process:</w:t>
      </w:r>
    </w:p>
    <w:p w:rsidR="00A26F36" w:rsidRPr="00A26F36" w:rsidRDefault="00A26F36" w:rsidP="00A26F36">
      <w:pPr>
        <w:spacing w:after="0"/>
        <w:jc w:val="both"/>
        <w:rPr>
          <w:rFonts w:ascii="Gill Sans MT" w:hAnsi="Gill Sans MT"/>
          <w:lang w:val="en-US"/>
        </w:rPr>
      </w:pPr>
    </w:p>
    <w:p w:rsidR="00A26F36" w:rsidRPr="00A26F36" w:rsidRDefault="00A26F36" w:rsidP="00A26F36">
      <w:pPr>
        <w:spacing w:after="0"/>
        <w:jc w:val="both"/>
        <w:rPr>
          <w:rFonts w:ascii="Gill Sans MT" w:hAnsi="Gill Sans MT"/>
          <w:sz w:val="20"/>
          <w:szCs w:val="20"/>
          <w:lang w:val="en-US"/>
        </w:rPr>
      </w:pPr>
      <w:r w:rsidRPr="00A26F36">
        <w:rPr>
          <w:rFonts w:ascii="Gill Sans MT" w:hAnsi="Gill Sans MT"/>
          <w:b/>
          <w:sz w:val="20"/>
          <w:szCs w:val="20"/>
          <w:lang w:val="en-US"/>
        </w:rPr>
        <w:t>Table 1</w:t>
      </w:r>
      <w:r w:rsidRPr="00A26F36">
        <w:rPr>
          <w:rFonts w:ascii="Gill Sans MT" w:hAnsi="Gill Sans MT"/>
          <w:sz w:val="20"/>
          <w:szCs w:val="20"/>
          <w:lang w:val="en-US"/>
        </w:rPr>
        <w:t xml:space="preserve"> – General statistics on the participation level.</w:t>
      </w:r>
    </w:p>
    <w:tbl>
      <w:tblPr>
        <w:tblW w:w="8169" w:type="dxa"/>
        <w:jc w:val="center"/>
        <w:tblCellMar>
          <w:left w:w="0" w:type="dxa"/>
          <w:right w:w="0" w:type="dxa"/>
        </w:tblCellMar>
        <w:tblLook w:val="0600"/>
      </w:tblPr>
      <w:tblGrid>
        <w:gridCol w:w="6830"/>
        <w:gridCol w:w="1339"/>
      </w:tblGrid>
      <w:tr w:rsidR="00A26F36" w:rsidRPr="00C0524D" w:rsidTr="0000429C">
        <w:trPr>
          <w:trHeight w:val="291"/>
          <w:jc w:val="center"/>
        </w:trPr>
        <w:tc>
          <w:tcPr>
            <w:tcW w:w="8169" w:type="dxa"/>
            <w:gridSpan w:val="2"/>
            <w:tcBorders>
              <w:top w:val="single" w:sz="4" w:space="0" w:color="000000"/>
              <w:left w:val="single" w:sz="4" w:space="0" w:color="000000"/>
              <w:bottom w:val="single" w:sz="4" w:space="0" w:color="000000"/>
              <w:right w:val="single" w:sz="4" w:space="0" w:color="000000"/>
            </w:tcBorders>
            <w:shd w:val="clear" w:color="auto" w:fill="DAEEF3"/>
            <w:tcMar>
              <w:top w:w="15" w:type="dxa"/>
              <w:left w:w="15" w:type="dxa"/>
              <w:bottom w:w="0" w:type="dxa"/>
              <w:right w:w="15" w:type="dxa"/>
            </w:tcMar>
            <w:vAlign w:val="center"/>
            <w:hideMark/>
          </w:tcPr>
          <w:p w:rsidR="00A26F36" w:rsidRPr="00C0524D" w:rsidRDefault="00A26F36" w:rsidP="0000429C">
            <w:pPr>
              <w:jc w:val="center"/>
            </w:pPr>
            <w:r w:rsidRPr="00C0524D">
              <w:rPr>
                <w:b/>
                <w:bCs/>
              </w:rPr>
              <w:t>General Information</w:t>
            </w:r>
          </w:p>
        </w:tc>
      </w:tr>
      <w:tr w:rsidR="00A26F36" w:rsidRPr="00C0524D" w:rsidTr="0000429C">
        <w:trPr>
          <w:trHeight w:val="380"/>
          <w:jc w:val="center"/>
        </w:trPr>
        <w:tc>
          <w:tcPr>
            <w:tcW w:w="6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26F36" w:rsidRPr="00C81FF5" w:rsidRDefault="00A26F36" w:rsidP="0000429C">
            <w:pPr>
              <w:jc w:val="center"/>
              <w:rPr>
                <w:lang w:val="en-US"/>
              </w:rPr>
            </w:pPr>
            <w:r w:rsidRPr="00C81FF5">
              <w:rPr>
                <w:lang w:val="en-US"/>
              </w:rPr>
              <w:t>Number of submitted pre-proposals</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26F36" w:rsidRPr="00C0524D" w:rsidRDefault="00A26F36" w:rsidP="0000429C">
            <w:pPr>
              <w:jc w:val="center"/>
            </w:pPr>
            <w:r w:rsidRPr="00C0524D">
              <w:rPr>
                <w:b/>
                <w:bCs/>
              </w:rPr>
              <w:t>118</w:t>
            </w:r>
          </w:p>
        </w:tc>
      </w:tr>
      <w:tr w:rsidR="00A26F36" w:rsidRPr="00C0524D" w:rsidTr="0000429C">
        <w:trPr>
          <w:trHeight w:val="449"/>
          <w:jc w:val="center"/>
        </w:trPr>
        <w:tc>
          <w:tcPr>
            <w:tcW w:w="6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26F36" w:rsidRPr="00C0524D" w:rsidRDefault="00A26F36" w:rsidP="0000429C">
            <w:pPr>
              <w:jc w:val="center"/>
              <w:rPr>
                <w:lang w:val="en-US"/>
              </w:rPr>
            </w:pPr>
            <w:r w:rsidRPr="00C0524D">
              <w:rPr>
                <w:lang w:val="en-US"/>
              </w:rPr>
              <w:t>Number of applicants (Coordinators and Partners)</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26F36" w:rsidRPr="00C0524D" w:rsidRDefault="00A26F36" w:rsidP="0000429C">
            <w:pPr>
              <w:jc w:val="center"/>
            </w:pPr>
            <w:r w:rsidRPr="00C0524D">
              <w:rPr>
                <w:b/>
                <w:bCs/>
              </w:rPr>
              <w:t>649</w:t>
            </w:r>
          </w:p>
        </w:tc>
      </w:tr>
      <w:tr w:rsidR="00A26F36" w:rsidRPr="00C0524D" w:rsidTr="0000429C">
        <w:trPr>
          <w:trHeight w:val="464"/>
          <w:jc w:val="center"/>
        </w:trPr>
        <w:tc>
          <w:tcPr>
            <w:tcW w:w="6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26F36" w:rsidRPr="00C0524D" w:rsidRDefault="00A26F36" w:rsidP="0000429C">
            <w:pPr>
              <w:jc w:val="center"/>
              <w:rPr>
                <w:lang w:val="en-US"/>
              </w:rPr>
            </w:pPr>
            <w:r w:rsidRPr="00C0524D">
              <w:rPr>
                <w:lang w:val="en-US"/>
              </w:rPr>
              <w:t>Average number of Partners p</w:t>
            </w:r>
            <w:bookmarkStart w:id="1" w:name="_GoBack"/>
            <w:bookmarkEnd w:id="1"/>
            <w:r w:rsidRPr="00C0524D">
              <w:rPr>
                <w:lang w:val="en-US"/>
              </w:rPr>
              <w:t xml:space="preserve">er </w:t>
            </w:r>
            <w:r w:rsidR="00A61DBC">
              <w:rPr>
                <w:lang w:val="en-US"/>
              </w:rPr>
              <w:t>Consortium</w:t>
            </w:r>
            <w:r w:rsidRPr="00C0524D">
              <w:rPr>
                <w:lang w:val="en-US"/>
              </w:rPr>
              <w:t xml:space="preserve"> (submitted proposals)</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26F36" w:rsidRPr="00C0524D" w:rsidRDefault="00A26F36" w:rsidP="0000429C">
            <w:pPr>
              <w:jc w:val="center"/>
            </w:pPr>
            <w:r w:rsidRPr="00C0524D">
              <w:rPr>
                <w:b/>
                <w:bCs/>
              </w:rPr>
              <w:t>4.50</w:t>
            </w:r>
          </w:p>
        </w:tc>
      </w:tr>
      <w:tr w:rsidR="00A26F36" w:rsidRPr="00C0524D" w:rsidTr="0000429C">
        <w:trPr>
          <w:trHeight w:val="497"/>
          <w:jc w:val="center"/>
        </w:trPr>
        <w:tc>
          <w:tcPr>
            <w:tcW w:w="6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26F36" w:rsidRPr="00C0524D" w:rsidRDefault="00A26F36" w:rsidP="0000429C">
            <w:pPr>
              <w:jc w:val="center"/>
              <w:rPr>
                <w:lang w:val="en-US"/>
              </w:rPr>
            </w:pPr>
            <w:r w:rsidRPr="00C0524D">
              <w:rPr>
                <w:lang w:val="en-US"/>
              </w:rPr>
              <w:t>Number of registered users in the Linkedin Group</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A26F36" w:rsidRPr="00C0524D" w:rsidRDefault="00A26F36" w:rsidP="0000429C">
            <w:pPr>
              <w:jc w:val="center"/>
            </w:pPr>
            <w:r w:rsidRPr="00C0524D">
              <w:rPr>
                <w:b/>
                <w:bCs/>
              </w:rPr>
              <w:t>211</w:t>
            </w:r>
          </w:p>
        </w:tc>
      </w:tr>
      <w:tr w:rsidR="00A61DBC" w:rsidRPr="000751DC" w:rsidTr="0000429C">
        <w:trPr>
          <w:trHeight w:val="497"/>
          <w:jc w:val="center"/>
        </w:trPr>
        <w:tc>
          <w:tcPr>
            <w:tcW w:w="6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61DBC" w:rsidRDefault="00A61DBC" w:rsidP="0000429C">
            <w:pPr>
              <w:jc w:val="center"/>
              <w:rPr>
                <w:lang w:val="en-US"/>
              </w:rPr>
            </w:pPr>
            <w:r>
              <w:rPr>
                <w:lang w:val="en-US"/>
              </w:rPr>
              <w:t>Number of eligible pre-proposals evaluated in Step 1</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A61DBC" w:rsidRDefault="00A61DBC" w:rsidP="0000429C">
            <w:pPr>
              <w:jc w:val="center"/>
              <w:rPr>
                <w:b/>
                <w:bCs/>
                <w:lang w:val="en-US"/>
              </w:rPr>
            </w:pPr>
            <w:r>
              <w:rPr>
                <w:b/>
                <w:bCs/>
                <w:lang w:val="en-US"/>
              </w:rPr>
              <w:t>106</w:t>
            </w:r>
          </w:p>
        </w:tc>
      </w:tr>
      <w:tr w:rsidR="000751DC" w:rsidRPr="000751DC" w:rsidTr="0000429C">
        <w:trPr>
          <w:trHeight w:val="497"/>
          <w:jc w:val="center"/>
        </w:trPr>
        <w:tc>
          <w:tcPr>
            <w:tcW w:w="6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751DC" w:rsidRPr="00C0524D" w:rsidRDefault="000751DC" w:rsidP="0000429C">
            <w:pPr>
              <w:jc w:val="center"/>
              <w:rPr>
                <w:lang w:val="en-US"/>
              </w:rPr>
            </w:pPr>
            <w:r>
              <w:rPr>
                <w:lang w:val="en-US"/>
              </w:rPr>
              <w:t xml:space="preserve">Number of </w:t>
            </w:r>
            <w:r w:rsidR="00A61DBC">
              <w:rPr>
                <w:lang w:val="en-US"/>
              </w:rPr>
              <w:t>full-</w:t>
            </w:r>
            <w:r>
              <w:rPr>
                <w:lang w:val="en-US"/>
              </w:rPr>
              <w:t xml:space="preserve">proposals </w:t>
            </w:r>
            <w:r w:rsidR="00A61DBC">
              <w:rPr>
                <w:lang w:val="en-US"/>
              </w:rPr>
              <w:t>evaluated in</w:t>
            </w:r>
            <w:r>
              <w:rPr>
                <w:lang w:val="en-US"/>
              </w:rPr>
              <w:t xml:space="preserve"> Step 2</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751DC" w:rsidRPr="000751DC" w:rsidRDefault="000751DC" w:rsidP="0000429C">
            <w:pPr>
              <w:jc w:val="center"/>
              <w:rPr>
                <w:b/>
                <w:bCs/>
                <w:lang w:val="en-US"/>
              </w:rPr>
            </w:pPr>
            <w:r>
              <w:rPr>
                <w:b/>
                <w:bCs/>
                <w:lang w:val="en-US"/>
              </w:rPr>
              <w:t>41</w:t>
            </w:r>
          </w:p>
        </w:tc>
      </w:tr>
      <w:tr w:rsidR="000751DC" w:rsidRPr="000751DC" w:rsidTr="0000429C">
        <w:trPr>
          <w:trHeight w:val="497"/>
          <w:jc w:val="center"/>
        </w:trPr>
        <w:tc>
          <w:tcPr>
            <w:tcW w:w="6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751DC" w:rsidRPr="00C0524D" w:rsidRDefault="000751DC" w:rsidP="0000429C">
            <w:pPr>
              <w:jc w:val="center"/>
              <w:rPr>
                <w:lang w:val="en-US"/>
              </w:rPr>
            </w:pPr>
            <w:r>
              <w:rPr>
                <w:lang w:val="en-US"/>
              </w:rPr>
              <w:t>Number of proposals selected for funding</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rsidR="000751DC" w:rsidRPr="000751DC" w:rsidRDefault="000751DC" w:rsidP="0000429C">
            <w:pPr>
              <w:jc w:val="center"/>
              <w:rPr>
                <w:b/>
                <w:bCs/>
                <w:lang w:val="en-US"/>
              </w:rPr>
            </w:pPr>
            <w:r>
              <w:rPr>
                <w:b/>
                <w:bCs/>
                <w:lang w:val="en-US"/>
              </w:rPr>
              <w:t>16</w:t>
            </w:r>
          </w:p>
        </w:tc>
      </w:tr>
    </w:tbl>
    <w:p w:rsidR="00A26F36" w:rsidRPr="000751DC" w:rsidRDefault="00A26F36" w:rsidP="00A26F36">
      <w:pPr>
        <w:spacing w:after="0"/>
        <w:jc w:val="both"/>
        <w:rPr>
          <w:rFonts w:ascii="Gill Sans MT" w:hAnsi="Gill Sans MT"/>
          <w:lang w:val="en-US"/>
        </w:rPr>
      </w:pPr>
    </w:p>
    <w:p w:rsidR="00A26F36" w:rsidRPr="00A61DBC" w:rsidRDefault="00A26F36" w:rsidP="00A26F36">
      <w:pPr>
        <w:spacing w:after="0"/>
        <w:jc w:val="both"/>
        <w:rPr>
          <w:rFonts w:ascii="Gill Sans MT" w:hAnsi="Gill Sans MT"/>
          <w:lang w:val="en-US"/>
        </w:rPr>
      </w:pPr>
      <w:r w:rsidRPr="00A748B8">
        <w:rPr>
          <w:rFonts w:ascii="Gill Sans MT" w:hAnsi="Gill Sans MT"/>
          <w:lang w:val="en-US"/>
        </w:rPr>
        <w:t xml:space="preserve">A </w:t>
      </w:r>
      <w:r w:rsidRPr="00A748B8">
        <w:rPr>
          <w:rFonts w:ascii="Gill Sans MT" w:hAnsi="Gill Sans MT"/>
          <w:b/>
          <w:lang w:val="en-US"/>
        </w:rPr>
        <w:t>gender analysis</w:t>
      </w:r>
      <w:r w:rsidRPr="00A748B8">
        <w:rPr>
          <w:rFonts w:ascii="Gill Sans MT" w:hAnsi="Gill Sans MT"/>
          <w:lang w:val="en-US"/>
        </w:rPr>
        <w:t xml:space="preserve"> of the 118 submitted pre-proposals shows a male dominance in the consortia coordination, with around 75% of the pre-proposals being coordinated by male researchers and only 25% by female researchers.</w:t>
      </w:r>
      <w:r w:rsidR="00A61DBC">
        <w:rPr>
          <w:rFonts w:ascii="Gill Sans MT" w:hAnsi="Gill Sans MT"/>
          <w:lang w:val="en-US"/>
        </w:rPr>
        <w:t xml:space="preserve"> </w:t>
      </w:r>
      <w:r w:rsidR="00A61DBC" w:rsidRPr="00A61DBC">
        <w:rPr>
          <w:rFonts w:ascii="Gill Sans MT" w:hAnsi="Gill Sans MT"/>
          <w:lang w:val="en-US"/>
        </w:rPr>
        <w:t>This rate decreases when we proceed to the second phase, with 20% of the approved proposals being led by female researchers.</w:t>
      </w:r>
    </w:p>
    <w:p w:rsidR="00A26F36" w:rsidRPr="00A748B8" w:rsidRDefault="00A26F36" w:rsidP="00A26F36">
      <w:pPr>
        <w:spacing w:after="0"/>
        <w:jc w:val="both"/>
        <w:rPr>
          <w:rFonts w:ascii="Gill Sans MT" w:hAnsi="Gill Sans MT"/>
          <w:lang w:val="en-US"/>
        </w:rPr>
      </w:pPr>
    </w:p>
    <w:p w:rsidR="00A748B8" w:rsidRPr="00A748B8" w:rsidRDefault="00A748B8" w:rsidP="00A748B8">
      <w:pPr>
        <w:spacing w:after="0"/>
        <w:jc w:val="both"/>
        <w:rPr>
          <w:rFonts w:ascii="Gill Sans MT" w:hAnsi="Gill Sans MT"/>
          <w:lang w:val="en-US"/>
        </w:rPr>
      </w:pPr>
      <w:r w:rsidRPr="00A748B8">
        <w:rPr>
          <w:rFonts w:ascii="Gill Sans MT" w:hAnsi="Gill Sans MT"/>
          <w:lang w:val="en-US"/>
        </w:rPr>
        <w:t xml:space="preserve">In what concerns the </w:t>
      </w:r>
      <w:r w:rsidRPr="00A748B8">
        <w:rPr>
          <w:rFonts w:ascii="Gill Sans MT" w:hAnsi="Gill Sans MT"/>
          <w:b/>
          <w:lang w:val="en-US"/>
        </w:rPr>
        <w:t>countries participation</w:t>
      </w:r>
      <w:r w:rsidRPr="00A748B8">
        <w:rPr>
          <w:rFonts w:ascii="Gill Sans MT" w:hAnsi="Gill Sans MT"/>
          <w:lang w:val="en-US"/>
        </w:rPr>
        <w:t xml:space="preserve"> in the call, it was observed that 97% of the submitted pre-proposals involve</w:t>
      </w:r>
      <w:r w:rsidRPr="00A748B8" w:rsidDel="000251F9">
        <w:rPr>
          <w:rFonts w:ascii="Gill Sans MT" w:hAnsi="Gill Sans MT"/>
          <w:lang w:val="en-US"/>
        </w:rPr>
        <w:t xml:space="preserve"> </w:t>
      </w:r>
      <w:r w:rsidRPr="00A748B8">
        <w:rPr>
          <w:rFonts w:ascii="Gill Sans MT" w:hAnsi="Gill Sans MT"/>
          <w:lang w:val="en-US"/>
        </w:rPr>
        <w:t>partners from the funding countries exclusively. The remaining 3% of the pre-proposals include partners from non-funding countries, specifically, China, Canada, Poland and Finland, whose collaboration was based in their own funding (Figure 1).</w:t>
      </w:r>
    </w:p>
    <w:p w:rsidR="00A26F36" w:rsidRDefault="00A26F36" w:rsidP="00A26F36">
      <w:pPr>
        <w:spacing w:after="0"/>
        <w:jc w:val="both"/>
        <w:rPr>
          <w:rFonts w:ascii="Gill Sans MT" w:hAnsi="Gill Sans MT"/>
          <w:lang w:val="en-US"/>
        </w:rPr>
      </w:pPr>
    </w:p>
    <w:p w:rsidR="00CA6047" w:rsidRDefault="00CA6047" w:rsidP="00CA6047">
      <w:pPr>
        <w:spacing w:after="0"/>
        <w:jc w:val="center"/>
        <w:rPr>
          <w:rFonts w:ascii="Gill Sans MT" w:hAnsi="Gill Sans MT"/>
          <w:lang w:val="en-US"/>
        </w:rPr>
      </w:pPr>
      <w:r w:rsidRPr="00A748B8">
        <w:rPr>
          <w:rFonts w:ascii="Gill Sans MT" w:hAnsi="Gill Sans MT"/>
          <w:noProof/>
          <w:lang w:val="it-IT" w:eastAsia="it-IT"/>
        </w:rPr>
        <w:lastRenderedPageBreak/>
        <w:drawing>
          <wp:inline distT="0" distB="0" distL="0" distR="0">
            <wp:extent cx="4200525" cy="2238375"/>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CA6047" w:rsidRPr="00A748B8" w:rsidRDefault="00CA6047" w:rsidP="00CA6047">
      <w:pPr>
        <w:spacing w:after="0"/>
        <w:jc w:val="both"/>
        <w:rPr>
          <w:rFonts w:ascii="Gill Sans MT" w:hAnsi="Gill Sans MT"/>
          <w:sz w:val="20"/>
          <w:lang w:val="en-US"/>
        </w:rPr>
      </w:pPr>
      <w:r w:rsidRPr="00A748B8">
        <w:rPr>
          <w:rFonts w:ascii="Gill Sans MT" w:hAnsi="Gill Sans MT"/>
          <w:b/>
          <w:sz w:val="20"/>
          <w:lang w:val="en-US"/>
        </w:rPr>
        <w:t>Figure 1</w:t>
      </w:r>
      <w:r w:rsidRPr="00A748B8">
        <w:rPr>
          <w:rFonts w:ascii="Gill Sans MT" w:hAnsi="Gill Sans MT"/>
          <w:sz w:val="20"/>
          <w:lang w:val="en-US"/>
        </w:rPr>
        <w:t xml:space="preserve"> – Countries participation in the call, namely funding countries and non-funding countries.</w:t>
      </w:r>
    </w:p>
    <w:p w:rsidR="00CA6047" w:rsidRDefault="00CA6047" w:rsidP="00A26F36">
      <w:pPr>
        <w:spacing w:after="0"/>
        <w:jc w:val="both"/>
        <w:rPr>
          <w:rFonts w:ascii="Gill Sans MT" w:hAnsi="Gill Sans MT"/>
          <w:lang w:val="en-US"/>
        </w:rPr>
      </w:pPr>
    </w:p>
    <w:p w:rsidR="00A61DBC" w:rsidRPr="00A61DBC" w:rsidRDefault="00A61DBC" w:rsidP="00A61DBC">
      <w:pPr>
        <w:spacing w:after="0"/>
        <w:jc w:val="both"/>
        <w:rPr>
          <w:rFonts w:ascii="Gill Sans MT" w:hAnsi="Gill Sans MT"/>
          <w:lang w:val="en-US"/>
        </w:rPr>
      </w:pPr>
      <w:r w:rsidRPr="00A61DBC">
        <w:rPr>
          <w:rFonts w:ascii="Gill Sans MT" w:hAnsi="Gill Sans MT"/>
          <w:lang w:val="en-US"/>
        </w:rPr>
        <w:t>If one analyses the number of partners per country among the submitted pre-proposals, it is observed a strong engagement of partners from Spain, Italy and Portugal, a pattern that is confirmed in the number of Consortia Coordination’s per country, as depicted in Figure 2.</w:t>
      </w:r>
    </w:p>
    <w:p w:rsidR="00A61DBC" w:rsidRPr="00A61DBC" w:rsidRDefault="00A61DBC" w:rsidP="00A61DBC">
      <w:pPr>
        <w:spacing w:after="0"/>
        <w:jc w:val="both"/>
        <w:rPr>
          <w:rFonts w:ascii="Gill Sans MT" w:hAnsi="Gill Sans MT"/>
          <w:lang w:val="en-US"/>
        </w:rPr>
      </w:pPr>
    </w:p>
    <w:p w:rsidR="00A61DBC" w:rsidRDefault="00A61DBC" w:rsidP="00A61DBC">
      <w:pPr>
        <w:spacing w:after="0"/>
        <w:jc w:val="center"/>
      </w:pPr>
      <w:r>
        <w:rPr>
          <w:noProof/>
          <w:lang w:val="it-IT" w:eastAsia="it-IT"/>
        </w:rPr>
        <w:drawing>
          <wp:inline distT="0" distB="0" distL="0" distR="0">
            <wp:extent cx="5819775" cy="3267075"/>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61DBC" w:rsidRPr="00A61DBC" w:rsidRDefault="00A61DBC" w:rsidP="00A61DBC">
      <w:pPr>
        <w:spacing w:after="0"/>
        <w:jc w:val="both"/>
        <w:rPr>
          <w:rFonts w:ascii="Gill Sans MT" w:hAnsi="Gill Sans MT"/>
          <w:sz w:val="20"/>
          <w:lang w:val="en-US"/>
        </w:rPr>
      </w:pPr>
      <w:r w:rsidRPr="00A61DBC">
        <w:rPr>
          <w:rFonts w:ascii="Gill Sans MT" w:hAnsi="Gill Sans MT"/>
          <w:b/>
          <w:sz w:val="20"/>
          <w:lang w:val="en-US"/>
        </w:rPr>
        <w:t>Figure 2</w:t>
      </w:r>
      <w:r w:rsidRPr="00A61DBC">
        <w:rPr>
          <w:rFonts w:ascii="Gill Sans MT" w:hAnsi="Gill Sans MT"/>
          <w:sz w:val="20"/>
          <w:lang w:val="en-US"/>
        </w:rPr>
        <w:t xml:space="preserve"> – Total number of Coordinators and Partners per country, considering the 118 submitted pre-proposals.</w:t>
      </w:r>
    </w:p>
    <w:p w:rsidR="00A61DBC" w:rsidRPr="00A61DBC" w:rsidRDefault="00A61DBC" w:rsidP="00A61DBC">
      <w:pPr>
        <w:spacing w:after="0"/>
        <w:jc w:val="both"/>
        <w:rPr>
          <w:rFonts w:ascii="Gill Sans MT" w:hAnsi="Gill Sans MT"/>
          <w:lang w:val="en-US"/>
        </w:rPr>
      </w:pPr>
    </w:p>
    <w:p w:rsidR="00A61DBC" w:rsidRPr="00A61DBC" w:rsidRDefault="00A61DBC" w:rsidP="00A61DBC">
      <w:pPr>
        <w:spacing w:after="0"/>
        <w:jc w:val="both"/>
        <w:rPr>
          <w:rFonts w:ascii="Gill Sans MT" w:hAnsi="Gill Sans MT"/>
          <w:lang w:val="en-US"/>
        </w:rPr>
      </w:pPr>
      <w:r w:rsidRPr="00A61DBC">
        <w:rPr>
          <w:rFonts w:ascii="Gill Sans MT" w:hAnsi="Gill Sans MT"/>
          <w:lang w:val="en-US"/>
        </w:rPr>
        <w:t>Considering the strong participation of Spain, Italy and Portugal in this call, it comes as no surprise that among the 41 pre-proposals selected to proceed to the second phase, the weight of these countries prevail (Figure 3).</w:t>
      </w:r>
    </w:p>
    <w:p w:rsidR="00A61DBC" w:rsidRPr="00A61DBC" w:rsidRDefault="00A61DBC" w:rsidP="00A61DBC">
      <w:pPr>
        <w:spacing w:after="0"/>
        <w:jc w:val="both"/>
        <w:rPr>
          <w:rFonts w:ascii="Gill Sans MT" w:hAnsi="Gill Sans MT"/>
          <w:lang w:val="en-US"/>
        </w:rPr>
      </w:pPr>
    </w:p>
    <w:p w:rsidR="00A61DBC" w:rsidRDefault="00A61DBC" w:rsidP="00A61DBC">
      <w:pPr>
        <w:spacing w:after="0"/>
        <w:jc w:val="both"/>
      </w:pPr>
      <w:r>
        <w:rPr>
          <w:noProof/>
          <w:lang w:val="it-IT" w:eastAsia="it-IT"/>
        </w:rPr>
        <w:lastRenderedPageBreak/>
        <w:drawing>
          <wp:inline distT="0" distB="0" distL="0" distR="0">
            <wp:extent cx="5600700" cy="325755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61DBC" w:rsidRPr="00A61DBC" w:rsidRDefault="00A61DBC" w:rsidP="00A61DBC">
      <w:pPr>
        <w:spacing w:after="0"/>
        <w:jc w:val="both"/>
        <w:rPr>
          <w:rFonts w:ascii="Gill Sans MT" w:hAnsi="Gill Sans MT"/>
          <w:sz w:val="20"/>
          <w:lang w:val="en-US"/>
        </w:rPr>
      </w:pPr>
      <w:r w:rsidRPr="00A61DBC">
        <w:rPr>
          <w:rFonts w:ascii="Gill Sans MT" w:hAnsi="Gill Sans MT"/>
          <w:b/>
          <w:sz w:val="20"/>
          <w:lang w:val="en-US"/>
        </w:rPr>
        <w:t xml:space="preserve">Figure 3 </w:t>
      </w:r>
      <w:r w:rsidRPr="00A61DBC">
        <w:rPr>
          <w:rFonts w:ascii="Gill Sans MT" w:hAnsi="Gill Sans MT"/>
          <w:sz w:val="20"/>
          <w:lang w:val="en-US"/>
        </w:rPr>
        <w:t>– Total number of Coordinators and Partners per country in the group of 41 pre-proposals selected to proceed to Step 2.</w:t>
      </w:r>
    </w:p>
    <w:p w:rsidR="00A61DBC" w:rsidRDefault="00A61DBC" w:rsidP="00A26F36">
      <w:pPr>
        <w:spacing w:after="0"/>
        <w:jc w:val="both"/>
        <w:rPr>
          <w:rFonts w:ascii="Gill Sans MT" w:hAnsi="Gill Sans MT"/>
          <w:lang w:val="en-US"/>
        </w:rPr>
      </w:pPr>
    </w:p>
    <w:p w:rsidR="00CA6047" w:rsidRPr="00CA6047" w:rsidRDefault="00CA6047" w:rsidP="00CA6047">
      <w:pPr>
        <w:spacing w:after="0"/>
        <w:jc w:val="both"/>
        <w:rPr>
          <w:rFonts w:ascii="Gill Sans MT" w:hAnsi="Gill Sans MT"/>
          <w:lang w:val="en-US"/>
        </w:rPr>
      </w:pPr>
      <w:r w:rsidRPr="00CA6047">
        <w:rPr>
          <w:rFonts w:ascii="Gill Sans MT" w:hAnsi="Gill Sans MT"/>
          <w:lang w:val="en-US"/>
        </w:rPr>
        <w:t xml:space="preserve">Regarding the </w:t>
      </w:r>
      <w:r w:rsidRPr="00CA6047">
        <w:rPr>
          <w:rFonts w:ascii="Gill Sans MT" w:hAnsi="Gill Sans MT"/>
          <w:b/>
          <w:lang w:val="en-US"/>
        </w:rPr>
        <w:t>typology of the participating organizations</w:t>
      </w:r>
      <w:r w:rsidRPr="00CA6047">
        <w:rPr>
          <w:rFonts w:ascii="Gill Sans MT" w:hAnsi="Gill Sans MT"/>
          <w:lang w:val="en-US"/>
        </w:rPr>
        <w:t xml:space="preserve">, we can see in Figure 4 that non-profit organizations are the predominant </w:t>
      </w:r>
      <w:r w:rsidR="004E0FC9">
        <w:rPr>
          <w:rFonts w:ascii="Gill Sans MT" w:hAnsi="Gill Sans MT"/>
          <w:lang w:val="en-US"/>
        </w:rPr>
        <w:t>coordinators/</w:t>
      </w:r>
      <w:r w:rsidRPr="00CA6047">
        <w:rPr>
          <w:rFonts w:ascii="Gill Sans MT" w:hAnsi="Gill Sans MT"/>
          <w:lang w:val="en-US"/>
        </w:rPr>
        <w:t>partner’s organization type (</w:t>
      </w:r>
      <w:r w:rsidR="004E0FC9">
        <w:rPr>
          <w:rFonts w:ascii="Gill Sans MT" w:hAnsi="Gill Sans MT"/>
          <w:lang w:val="en-US"/>
        </w:rPr>
        <w:t>93%-</w:t>
      </w:r>
      <w:r w:rsidRPr="00CA6047">
        <w:rPr>
          <w:rFonts w:ascii="Gill Sans MT" w:hAnsi="Gill Sans MT"/>
          <w:lang w:val="en-US"/>
        </w:rPr>
        <w:t xml:space="preserve">80%). Only 20% of the proposals involve partners from private enterprises. This number </w:t>
      </w:r>
      <w:proofErr w:type="spellStart"/>
      <w:r w:rsidR="004E0FC9">
        <w:rPr>
          <w:rFonts w:ascii="Gill Sans MT" w:hAnsi="Gill Sans MT"/>
          <w:lang w:val="en-US"/>
        </w:rPr>
        <w:t>decreases</w:t>
      </w:r>
      <w:r w:rsidR="004E0FC9" w:rsidRPr="00CA6047">
        <w:rPr>
          <w:rFonts w:ascii="Gill Sans MT" w:hAnsi="Gill Sans MT"/>
          <w:lang w:val="en-US"/>
        </w:rPr>
        <w:t>s</w:t>
      </w:r>
      <w:proofErr w:type="spellEnd"/>
      <w:r w:rsidR="004E0FC9" w:rsidRPr="00CA6047">
        <w:rPr>
          <w:rFonts w:ascii="Gill Sans MT" w:hAnsi="Gill Sans MT"/>
          <w:lang w:val="en-US"/>
        </w:rPr>
        <w:t xml:space="preserve"> </w:t>
      </w:r>
      <w:r w:rsidRPr="00CA6047">
        <w:rPr>
          <w:rFonts w:ascii="Gill Sans MT" w:hAnsi="Gill Sans MT"/>
          <w:lang w:val="en-US"/>
        </w:rPr>
        <w:t>in which regards the coordination of pre-proposals. Only 7% of the pre-proposals submitted are coordinated by enterprises.</w:t>
      </w:r>
    </w:p>
    <w:p w:rsidR="00CA6047" w:rsidRPr="00CA6047" w:rsidRDefault="00CA6047" w:rsidP="00CA6047">
      <w:pPr>
        <w:spacing w:after="0"/>
        <w:jc w:val="both"/>
        <w:rPr>
          <w:rFonts w:ascii="Gill Sans MT" w:hAnsi="Gill Sans MT"/>
          <w:lang w:val="en-US"/>
        </w:rPr>
      </w:pPr>
    </w:p>
    <w:p w:rsidR="00CA6047" w:rsidRDefault="00CA6047" w:rsidP="00CA6047">
      <w:pPr>
        <w:spacing w:after="0"/>
        <w:jc w:val="center"/>
      </w:pPr>
      <w:r w:rsidRPr="00C0524D">
        <w:rPr>
          <w:noProof/>
          <w:lang w:val="it-IT" w:eastAsia="it-IT"/>
        </w:rPr>
        <w:drawing>
          <wp:inline distT="0" distB="0" distL="0" distR="0">
            <wp:extent cx="2486025" cy="200977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C0524D">
        <w:rPr>
          <w:noProof/>
          <w:lang w:val="it-IT" w:eastAsia="it-IT"/>
        </w:rPr>
        <w:drawing>
          <wp:inline distT="0" distB="0" distL="0" distR="0">
            <wp:extent cx="2819400" cy="20193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A6047" w:rsidRPr="00CA6047" w:rsidRDefault="00CA6047" w:rsidP="00CA6047">
      <w:pPr>
        <w:spacing w:after="0"/>
        <w:jc w:val="both"/>
        <w:rPr>
          <w:rFonts w:ascii="Gill Sans MT" w:hAnsi="Gill Sans MT"/>
          <w:sz w:val="20"/>
          <w:lang w:val="en-US"/>
        </w:rPr>
      </w:pPr>
      <w:r w:rsidRPr="00CA6047">
        <w:rPr>
          <w:rFonts w:ascii="Gill Sans MT" w:hAnsi="Gill Sans MT"/>
          <w:b/>
          <w:sz w:val="20"/>
          <w:lang w:val="en-US"/>
        </w:rPr>
        <w:t>Figure 4</w:t>
      </w:r>
      <w:r w:rsidRPr="00CA6047">
        <w:rPr>
          <w:rFonts w:ascii="Gill Sans MT" w:hAnsi="Gill Sans MT"/>
          <w:sz w:val="20"/>
          <w:lang w:val="en-US"/>
        </w:rPr>
        <w:t xml:space="preserve"> – Total number of Coordinators and Partners per organisation type in the group of 118 pre-proposals submitted to Step 1.</w:t>
      </w:r>
    </w:p>
    <w:p w:rsidR="00A748B8" w:rsidRPr="00CA6047" w:rsidRDefault="00A748B8" w:rsidP="00A748B8">
      <w:pPr>
        <w:spacing w:after="0"/>
        <w:jc w:val="both"/>
        <w:rPr>
          <w:rFonts w:ascii="Gill Sans MT" w:hAnsi="Gill Sans MT"/>
          <w:lang w:val="en-US"/>
        </w:rPr>
      </w:pPr>
    </w:p>
    <w:p w:rsidR="00CA6047" w:rsidRPr="00CA6047" w:rsidRDefault="00CA6047" w:rsidP="00CA6047">
      <w:pPr>
        <w:spacing w:after="0"/>
        <w:jc w:val="both"/>
        <w:rPr>
          <w:rFonts w:ascii="Gill Sans MT" w:hAnsi="Gill Sans MT"/>
          <w:lang w:val="en-US"/>
        </w:rPr>
      </w:pPr>
      <w:r w:rsidRPr="00CA6047">
        <w:rPr>
          <w:rFonts w:ascii="Gill Sans MT" w:hAnsi="Gill Sans MT"/>
          <w:lang w:val="en-US"/>
        </w:rPr>
        <w:t xml:space="preserve">Concerning the </w:t>
      </w:r>
      <w:r w:rsidRPr="00CA6047">
        <w:rPr>
          <w:rFonts w:ascii="Gill Sans MT" w:hAnsi="Gill Sans MT"/>
          <w:b/>
          <w:lang w:val="en-US"/>
        </w:rPr>
        <w:t>financing plan</w:t>
      </w:r>
      <w:r w:rsidRPr="00CA6047">
        <w:rPr>
          <w:rFonts w:ascii="Gill Sans MT" w:hAnsi="Gill Sans MT"/>
          <w:lang w:val="en-US"/>
        </w:rPr>
        <w:t>, the total requested funding in this call amounts to close to €104 million, which corresponds to about 76% of the total costs declared, and to circa of 7 times more when compared to the available funds (€15 million).</w:t>
      </w:r>
    </w:p>
    <w:p w:rsidR="00CA6047" w:rsidRPr="00CA6047" w:rsidRDefault="00CA6047" w:rsidP="00CA6047">
      <w:pPr>
        <w:spacing w:after="0"/>
        <w:jc w:val="both"/>
        <w:rPr>
          <w:rFonts w:ascii="Gill Sans MT" w:hAnsi="Gill Sans MT"/>
          <w:lang w:val="en-US"/>
        </w:rPr>
      </w:pPr>
    </w:p>
    <w:p w:rsidR="00CA6047" w:rsidRDefault="00CA6047" w:rsidP="00CA6047">
      <w:pPr>
        <w:spacing w:after="0"/>
        <w:jc w:val="center"/>
      </w:pPr>
      <w:r>
        <w:rPr>
          <w:noProof/>
          <w:lang w:val="it-IT" w:eastAsia="it-IT"/>
        </w:rPr>
        <w:lastRenderedPageBreak/>
        <w:drawing>
          <wp:inline distT="0" distB="0" distL="0" distR="0">
            <wp:extent cx="5143500" cy="25908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6047" w:rsidRPr="00CA6047" w:rsidRDefault="00CA6047" w:rsidP="00CA6047">
      <w:pPr>
        <w:spacing w:after="0"/>
        <w:jc w:val="both"/>
        <w:rPr>
          <w:rFonts w:ascii="Gill Sans MT" w:hAnsi="Gill Sans MT"/>
          <w:sz w:val="20"/>
          <w:lang w:val="en-US"/>
        </w:rPr>
      </w:pPr>
      <w:r w:rsidRPr="00CA6047">
        <w:rPr>
          <w:rFonts w:ascii="Gill Sans MT" w:hAnsi="Gill Sans MT"/>
          <w:b/>
          <w:sz w:val="20"/>
          <w:lang w:val="en-US"/>
        </w:rPr>
        <w:t>Figure 5</w:t>
      </w:r>
      <w:r w:rsidRPr="00CA6047">
        <w:rPr>
          <w:rFonts w:ascii="Gill Sans MT" w:hAnsi="Gill Sans MT"/>
          <w:sz w:val="20"/>
          <w:lang w:val="en-US"/>
        </w:rPr>
        <w:t xml:space="preserve"> – Financing Plan: Overall requested funding, own contribution and total costs estimated in the group of 118 pre-proposals submitted to the call.</w:t>
      </w:r>
    </w:p>
    <w:p w:rsidR="00CA6047" w:rsidRPr="00CA6047" w:rsidRDefault="00CA6047" w:rsidP="00CA6047">
      <w:pPr>
        <w:spacing w:after="0"/>
        <w:jc w:val="both"/>
        <w:rPr>
          <w:rFonts w:ascii="Gill Sans MT" w:hAnsi="Gill Sans MT"/>
          <w:lang w:val="en-US"/>
        </w:rPr>
      </w:pPr>
    </w:p>
    <w:p w:rsidR="00CA6047" w:rsidRPr="00CA6047" w:rsidRDefault="00CA6047" w:rsidP="00CA6047">
      <w:pPr>
        <w:spacing w:after="0"/>
        <w:jc w:val="both"/>
        <w:rPr>
          <w:rFonts w:ascii="Gill Sans MT" w:hAnsi="Gill Sans MT"/>
          <w:lang w:val="en-US"/>
        </w:rPr>
      </w:pPr>
      <w:r w:rsidRPr="00CA6047">
        <w:rPr>
          <w:rFonts w:ascii="Gill Sans MT" w:hAnsi="Gill Sans MT"/>
          <w:lang w:val="en-US"/>
        </w:rPr>
        <w:t>In sync with the strong participation of non-profit organisations in the call, 87% of the total requested funding comes from this type of organizations (Figure 6).</w:t>
      </w:r>
    </w:p>
    <w:p w:rsidR="00CA6047" w:rsidRPr="00CA6047" w:rsidRDefault="00CA6047" w:rsidP="00CA6047">
      <w:pPr>
        <w:spacing w:after="0"/>
        <w:jc w:val="both"/>
        <w:rPr>
          <w:rFonts w:ascii="Gill Sans MT" w:hAnsi="Gill Sans MT"/>
          <w:lang w:val="en-US"/>
        </w:rPr>
      </w:pPr>
    </w:p>
    <w:p w:rsidR="00CA6047" w:rsidRDefault="00CA6047" w:rsidP="00CA6047">
      <w:pPr>
        <w:spacing w:after="0"/>
        <w:jc w:val="center"/>
      </w:pPr>
      <w:r>
        <w:rPr>
          <w:noProof/>
          <w:lang w:val="it-IT" w:eastAsia="it-IT"/>
        </w:rPr>
        <w:drawing>
          <wp:inline distT="0" distB="0" distL="0" distR="0">
            <wp:extent cx="5172075" cy="2657475"/>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A6047" w:rsidRPr="00CA6047" w:rsidRDefault="00CA6047" w:rsidP="00CA6047">
      <w:pPr>
        <w:spacing w:after="0"/>
        <w:jc w:val="both"/>
        <w:rPr>
          <w:rFonts w:ascii="Gill Sans MT" w:hAnsi="Gill Sans MT"/>
          <w:sz w:val="20"/>
          <w:lang w:val="en-US"/>
        </w:rPr>
      </w:pPr>
      <w:r w:rsidRPr="00CA6047">
        <w:rPr>
          <w:rFonts w:ascii="Gill Sans MT" w:hAnsi="Gill Sans MT"/>
          <w:b/>
          <w:sz w:val="20"/>
          <w:lang w:val="en-US"/>
        </w:rPr>
        <w:t>Figure 6</w:t>
      </w:r>
      <w:r w:rsidRPr="00CA6047">
        <w:rPr>
          <w:rFonts w:ascii="Gill Sans MT" w:hAnsi="Gill Sans MT"/>
          <w:sz w:val="20"/>
          <w:lang w:val="en-US"/>
        </w:rPr>
        <w:t xml:space="preserve"> – Overall requested funding by organization type estimated in the group of 118 pre-proposals submitted to the call.</w:t>
      </w:r>
    </w:p>
    <w:p w:rsidR="00A748B8" w:rsidRDefault="00A748B8" w:rsidP="00CA6047">
      <w:pPr>
        <w:spacing w:after="0"/>
        <w:jc w:val="both"/>
        <w:rPr>
          <w:rFonts w:ascii="Gill Sans MT" w:hAnsi="Gill Sans MT"/>
          <w:lang w:val="en-US"/>
        </w:rPr>
      </w:pPr>
    </w:p>
    <w:p w:rsidR="00A25520" w:rsidRDefault="00A25520" w:rsidP="00F855CD">
      <w:pPr>
        <w:spacing w:after="0"/>
        <w:jc w:val="both"/>
        <w:rPr>
          <w:rFonts w:ascii="Gill Sans MT" w:hAnsi="Gill Sans MT"/>
          <w:lang w:val="en-US"/>
        </w:rPr>
      </w:pPr>
      <w:r>
        <w:rPr>
          <w:rFonts w:ascii="Gill Sans MT" w:hAnsi="Gill Sans MT"/>
          <w:lang w:val="en-US"/>
        </w:rPr>
        <w:t>At the end of Step 1,</w:t>
      </w:r>
      <w:r w:rsidR="00F855CD">
        <w:rPr>
          <w:rFonts w:ascii="Gill Sans MT" w:hAnsi="Gill Sans MT"/>
          <w:lang w:val="en-US"/>
        </w:rPr>
        <w:t xml:space="preserve"> 41 proposals were selected to advance to Step 2 and submit</w:t>
      </w:r>
      <w:r>
        <w:rPr>
          <w:rFonts w:ascii="Gill Sans MT" w:hAnsi="Gill Sans MT"/>
          <w:lang w:val="en-US"/>
        </w:rPr>
        <w:t xml:space="preserve"> a full proposal, i.e.,</w:t>
      </w:r>
      <w:r w:rsidRPr="00A25520">
        <w:rPr>
          <w:lang w:val="en-US"/>
        </w:rPr>
        <w:t xml:space="preserve"> </w:t>
      </w:r>
      <w:r>
        <w:rPr>
          <w:lang w:val="en-US"/>
        </w:rPr>
        <w:t>about</w:t>
      </w:r>
      <w:r w:rsidRPr="00A25520">
        <w:rPr>
          <w:lang w:val="en-US"/>
        </w:rPr>
        <w:t xml:space="preserve"> 39% of the eligible pre-proposals </w:t>
      </w:r>
      <w:r>
        <w:rPr>
          <w:lang w:val="en-US"/>
        </w:rPr>
        <w:t>proceeded</w:t>
      </w:r>
      <w:r w:rsidRPr="00A25520">
        <w:rPr>
          <w:lang w:val="en-US"/>
        </w:rPr>
        <w:t xml:space="preserve"> to Step 2.</w:t>
      </w:r>
    </w:p>
    <w:p w:rsidR="00A25520" w:rsidRDefault="00A25520" w:rsidP="00F855CD">
      <w:pPr>
        <w:spacing w:after="0"/>
        <w:jc w:val="both"/>
        <w:rPr>
          <w:rFonts w:ascii="Gill Sans MT" w:hAnsi="Gill Sans MT"/>
          <w:lang w:val="en-US"/>
        </w:rPr>
      </w:pPr>
    </w:p>
    <w:p w:rsidR="00F855CD" w:rsidRPr="00F855CD" w:rsidRDefault="00F855CD" w:rsidP="00F855CD">
      <w:pPr>
        <w:spacing w:after="0"/>
        <w:jc w:val="both"/>
        <w:rPr>
          <w:rFonts w:ascii="Gill Sans MT" w:hAnsi="Gill Sans MT"/>
          <w:lang w:val="en-US"/>
        </w:rPr>
      </w:pPr>
      <w:r>
        <w:rPr>
          <w:rFonts w:ascii="Gill Sans MT" w:hAnsi="Gill Sans MT"/>
          <w:lang w:val="en-US"/>
        </w:rPr>
        <w:t>T</w:t>
      </w:r>
      <w:r w:rsidRPr="00F855CD">
        <w:rPr>
          <w:rFonts w:ascii="Gill Sans MT" w:hAnsi="Gill Sans MT"/>
          <w:lang w:val="en-US"/>
        </w:rPr>
        <w:t xml:space="preserve">he analysis of the </w:t>
      </w:r>
      <w:r w:rsidRPr="00F855CD">
        <w:rPr>
          <w:rFonts w:ascii="Gill Sans MT" w:hAnsi="Gill Sans MT"/>
          <w:b/>
          <w:lang w:val="en-US"/>
        </w:rPr>
        <w:t xml:space="preserve">distribution of the call topics </w:t>
      </w:r>
      <w:r w:rsidRPr="00F855CD">
        <w:rPr>
          <w:rFonts w:ascii="Gill Sans MT" w:hAnsi="Gill Sans MT"/>
          <w:lang w:val="en-US"/>
        </w:rPr>
        <w:t xml:space="preserve">shows that the array of topics covered by the 106 eligible pre-proposals and the 41 proposals that advanced to Step 2 follow a similar distribution, as depicted in Figure </w:t>
      </w:r>
      <w:r>
        <w:rPr>
          <w:rFonts w:ascii="Gill Sans MT" w:hAnsi="Gill Sans MT"/>
          <w:lang w:val="en-US"/>
        </w:rPr>
        <w:t>7</w:t>
      </w:r>
      <w:r w:rsidRPr="00F855CD">
        <w:rPr>
          <w:rFonts w:ascii="Gill Sans MT" w:hAnsi="Gill Sans MT"/>
          <w:lang w:val="en-US"/>
        </w:rPr>
        <w:t xml:space="preserve">. Topic 1 on </w:t>
      </w:r>
      <w:r w:rsidRPr="00F855CD">
        <w:rPr>
          <w:rFonts w:ascii="Gill Sans MT" w:hAnsi="Gill Sans MT"/>
          <w:i/>
          <w:lang w:val="en-US"/>
        </w:rPr>
        <w:t>Water Treatment, Reuse, Recycling and Desalination</w:t>
      </w:r>
      <w:r w:rsidRPr="00F855CD">
        <w:rPr>
          <w:rFonts w:ascii="Gill Sans MT" w:hAnsi="Gill Sans MT"/>
          <w:lang w:val="en-US"/>
        </w:rPr>
        <w:t>, had a large dominance over the other Call topics. Although speculative, the fact The Netherlands limited their funding to proposals covering Topic 3, may have been determinant to increase the participation level in this particular topic. Out of the 20 proposals submitted covering Topic 3, 14 had Dutch partners.</w:t>
      </w:r>
    </w:p>
    <w:p w:rsidR="00F855CD" w:rsidRPr="00F855CD" w:rsidRDefault="00F855CD" w:rsidP="00F855CD">
      <w:pPr>
        <w:spacing w:after="0"/>
        <w:jc w:val="both"/>
        <w:rPr>
          <w:rFonts w:ascii="Gill Sans MT" w:hAnsi="Gill Sans MT"/>
          <w:lang w:val="en-US"/>
        </w:rPr>
      </w:pPr>
    </w:p>
    <w:p w:rsidR="00F855CD" w:rsidRDefault="00F855CD" w:rsidP="00F855CD">
      <w:pPr>
        <w:spacing w:after="0"/>
        <w:jc w:val="center"/>
      </w:pPr>
      <w:r>
        <w:rPr>
          <w:noProof/>
          <w:lang w:val="it-IT" w:eastAsia="it-IT"/>
        </w:rPr>
        <w:drawing>
          <wp:inline distT="0" distB="0" distL="0" distR="0">
            <wp:extent cx="2466975" cy="2790825"/>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lang w:val="it-IT" w:eastAsia="it-IT"/>
        </w:rPr>
        <w:drawing>
          <wp:inline distT="0" distB="0" distL="0" distR="0">
            <wp:extent cx="2419350" cy="27908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855CD" w:rsidRDefault="00F855CD" w:rsidP="00F855CD">
      <w:pPr>
        <w:spacing w:after="0"/>
        <w:jc w:val="center"/>
      </w:pPr>
      <w:r>
        <w:rPr>
          <w:b/>
          <w:noProof/>
          <w:sz w:val="20"/>
          <w:szCs w:val="20"/>
          <w:lang w:val="it-IT" w:eastAsia="it-IT"/>
        </w:rPr>
        <w:drawing>
          <wp:inline distT="0" distB="0" distL="0" distR="0">
            <wp:extent cx="2428875" cy="391754"/>
            <wp:effectExtent l="0" t="0" r="0" b="8890"/>
            <wp:docPr id="4" name="Picture 5" descr="C:\Users\GSantos\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Santos\Desktop\Capture.PN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32215" cy="392293"/>
                    </a:xfrm>
                    <a:prstGeom prst="rect">
                      <a:avLst/>
                    </a:prstGeom>
                    <a:noFill/>
                    <a:ln>
                      <a:noFill/>
                    </a:ln>
                  </pic:spPr>
                </pic:pic>
              </a:graphicData>
            </a:graphic>
          </wp:inline>
        </w:drawing>
      </w:r>
    </w:p>
    <w:p w:rsidR="00F855CD" w:rsidRPr="00F855CD" w:rsidRDefault="00F855CD" w:rsidP="00F855CD">
      <w:pPr>
        <w:spacing w:after="0"/>
        <w:jc w:val="both"/>
        <w:rPr>
          <w:rFonts w:ascii="Gill Sans MT" w:hAnsi="Gill Sans MT"/>
          <w:sz w:val="20"/>
          <w:szCs w:val="20"/>
          <w:lang w:val="en-US"/>
        </w:rPr>
      </w:pPr>
      <w:r w:rsidRPr="00F855CD">
        <w:rPr>
          <w:rFonts w:ascii="Gill Sans MT" w:hAnsi="Gill Sans MT"/>
          <w:b/>
          <w:sz w:val="20"/>
          <w:lang w:val="en-US"/>
        </w:rPr>
        <w:t xml:space="preserve">Figure </w:t>
      </w:r>
      <w:r>
        <w:rPr>
          <w:rFonts w:ascii="Gill Sans MT" w:hAnsi="Gill Sans MT"/>
          <w:b/>
          <w:sz w:val="20"/>
          <w:lang w:val="en-US"/>
        </w:rPr>
        <w:t>7</w:t>
      </w:r>
      <w:r w:rsidRPr="00F855CD">
        <w:rPr>
          <w:rFonts w:ascii="Gill Sans MT" w:hAnsi="Gill Sans MT"/>
          <w:sz w:val="20"/>
          <w:lang w:val="en-US"/>
        </w:rPr>
        <w:t xml:space="preserve"> </w:t>
      </w:r>
      <w:r w:rsidRPr="00F855CD">
        <w:rPr>
          <w:rFonts w:ascii="Gill Sans MT" w:hAnsi="Gill Sans MT"/>
          <w:sz w:val="20"/>
          <w:szCs w:val="20"/>
          <w:lang w:val="en-US"/>
        </w:rPr>
        <w:t xml:space="preserve">– Distribution of Call Topics in the group of submitted pre-proposals and in the group of proposals that advanced to Step 2, namely, Research and Innovation for Developing Technological Solutions and Services: </w:t>
      </w:r>
      <w:r w:rsidRPr="00F855CD" w:rsidDel="006E266C">
        <w:rPr>
          <w:rFonts w:ascii="Gill Sans MT" w:hAnsi="Gill Sans MT"/>
          <w:sz w:val="20"/>
          <w:szCs w:val="20"/>
          <w:lang w:val="en-US"/>
        </w:rPr>
        <w:t>T1</w:t>
      </w:r>
      <w:r w:rsidRPr="00F855CD">
        <w:rPr>
          <w:rFonts w:ascii="Gill Sans MT" w:hAnsi="Gill Sans MT"/>
          <w:sz w:val="20"/>
          <w:szCs w:val="20"/>
          <w:lang w:val="en-US"/>
        </w:rPr>
        <w:t>.</w:t>
      </w:r>
      <w:r w:rsidRPr="00F855CD" w:rsidDel="006E266C">
        <w:rPr>
          <w:rFonts w:ascii="Gill Sans MT" w:hAnsi="Gill Sans MT"/>
          <w:sz w:val="20"/>
          <w:szCs w:val="20"/>
          <w:lang w:val="en-US"/>
        </w:rPr>
        <w:t xml:space="preserve"> for Water Treatment, Reuse, Recycling and Desalination;</w:t>
      </w:r>
      <w:r w:rsidRPr="00F855CD">
        <w:rPr>
          <w:rFonts w:ascii="Gill Sans MT" w:hAnsi="Gill Sans MT"/>
          <w:sz w:val="20"/>
          <w:szCs w:val="20"/>
          <w:lang w:val="en-US"/>
        </w:rPr>
        <w:t xml:space="preserve"> </w:t>
      </w:r>
      <w:r w:rsidRPr="00F855CD" w:rsidDel="006E266C">
        <w:rPr>
          <w:rFonts w:ascii="Gill Sans MT" w:hAnsi="Gill Sans MT"/>
          <w:sz w:val="20"/>
          <w:szCs w:val="20"/>
          <w:lang w:val="en-US"/>
        </w:rPr>
        <w:t>T2. for Water Resources Management;</w:t>
      </w:r>
      <w:r w:rsidRPr="00F855CD">
        <w:rPr>
          <w:rFonts w:ascii="Gill Sans MT" w:hAnsi="Gill Sans MT"/>
          <w:sz w:val="20"/>
          <w:szCs w:val="20"/>
          <w:lang w:val="en-US"/>
        </w:rPr>
        <w:t xml:space="preserve"> </w:t>
      </w:r>
      <w:r w:rsidRPr="00F855CD" w:rsidDel="006E266C">
        <w:rPr>
          <w:rFonts w:ascii="Gill Sans MT" w:hAnsi="Gill Sans MT"/>
          <w:sz w:val="20"/>
          <w:szCs w:val="20"/>
          <w:lang w:val="en-US"/>
        </w:rPr>
        <w:t>T3. to Mitigate Impacts of Extreme Events (Floods and Droughts) at Catchment Scale.</w:t>
      </w:r>
    </w:p>
    <w:p w:rsidR="00A26F36" w:rsidRPr="00A748B8" w:rsidRDefault="00A26F36" w:rsidP="00A26F36">
      <w:pPr>
        <w:spacing w:after="0"/>
        <w:jc w:val="both"/>
        <w:rPr>
          <w:rFonts w:ascii="Gill Sans MT" w:hAnsi="Gill Sans MT"/>
          <w:lang w:val="en-US"/>
        </w:rPr>
      </w:pPr>
    </w:p>
    <w:p w:rsidR="003C1DE8" w:rsidRPr="003C1DE8" w:rsidRDefault="00A25520" w:rsidP="002F7D39">
      <w:pPr>
        <w:pStyle w:val="Estilo2"/>
        <w:rPr>
          <w:b w:val="0"/>
          <w:color w:val="auto"/>
          <w:sz w:val="22"/>
        </w:rPr>
      </w:pPr>
      <w:r>
        <w:rPr>
          <w:b w:val="0"/>
          <w:color w:val="auto"/>
          <w:sz w:val="22"/>
        </w:rPr>
        <w:t>Step 2 was concluded on the</w:t>
      </w:r>
      <w:r w:rsidR="003C1DE8" w:rsidRPr="003C1DE8">
        <w:rPr>
          <w:b w:val="0"/>
          <w:color w:val="auto"/>
          <w:sz w:val="22"/>
        </w:rPr>
        <w:t xml:space="preserve"> 29-30 October 2015</w:t>
      </w:r>
      <w:r>
        <w:rPr>
          <w:b w:val="0"/>
          <w:color w:val="auto"/>
          <w:sz w:val="22"/>
        </w:rPr>
        <w:t>. The</w:t>
      </w:r>
      <w:r w:rsidR="003C1DE8" w:rsidRPr="003C1DE8">
        <w:rPr>
          <w:b w:val="0"/>
          <w:color w:val="auto"/>
          <w:sz w:val="22"/>
        </w:rPr>
        <w:t xml:space="preserve"> Evaluation Panel </w:t>
      </w:r>
      <w:r>
        <w:rPr>
          <w:b w:val="0"/>
          <w:color w:val="auto"/>
          <w:sz w:val="22"/>
        </w:rPr>
        <w:t xml:space="preserve">(EP) </w:t>
      </w:r>
      <w:r w:rsidR="003C1DE8" w:rsidRPr="003C1DE8">
        <w:rPr>
          <w:b w:val="0"/>
          <w:color w:val="auto"/>
          <w:sz w:val="22"/>
        </w:rPr>
        <w:t xml:space="preserve">met in Lisbon and reached a final consensus evaluation of all 41 full-proposals. The distribution of total scores among the 41 proposals is depicted in Figure </w:t>
      </w:r>
      <w:r>
        <w:rPr>
          <w:b w:val="0"/>
          <w:color w:val="auto"/>
          <w:sz w:val="22"/>
        </w:rPr>
        <w:t>8</w:t>
      </w:r>
      <w:r w:rsidR="003C1DE8" w:rsidRPr="003C1DE8">
        <w:rPr>
          <w:b w:val="0"/>
          <w:color w:val="auto"/>
          <w:sz w:val="22"/>
        </w:rPr>
        <w:t>.</w:t>
      </w:r>
    </w:p>
    <w:p w:rsidR="002F7D39" w:rsidRPr="003C1DE8" w:rsidRDefault="002F7D39" w:rsidP="002F7D39">
      <w:pPr>
        <w:pStyle w:val="Estilo2"/>
        <w:rPr>
          <w:b w:val="0"/>
          <w:color w:val="auto"/>
          <w:sz w:val="22"/>
        </w:rPr>
      </w:pPr>
    </w:p>
    <w:p w:rsidR="002F7D39" w:rsidRDefault="002F7D39" w:rsidP="002F7D39">
      <w:pPr>
        <w:pStyle w:val="Estilo2"/>
        <w:jc w:val="center"/>
        <w:rPr>
          <w:b w:val="0"/>
          <w:color w:val="auto"/>
          <w:sz w:val="22"/>
        </w:rPr>
      </w:pPr>
      <w:r w:rsidRPr="004E2E70">
        <w:rPr>
          <w:b w:val="0"/>
          <w:noProof/>
          <w:color w:val="auto"/>
          <w:sz w:val="22"/>
          <w:lang w:val="it-IT" w:eastAsia="it-IT"/>
        </w:rPr>
        <w:drawing>
          <wp:inline distT="0" distB="0" distL="0" distR="0">
            <wp:extent cx="4010025" cy="2554927"/>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13238" cy="2556974"/>
                    </a:xfrm>
                    <a:prstGeom prst="rect">
                      <a:avLst/>
                    </a:prstGeom>
                    <a:noFill/>
                    <a:ln>
                      <a:noFill/>
                    </a:ln>
                    <a:effectLst/>
                    <a:extLst/>
                  </pic:spPr>
                </pic:pic>
              </a:graphicData>
            </a:graphic>
          </wp:inline>
        </w:drawing>
      </w:r>
    </w:p>
    <w:p w:rsidR="002F7D39" w:rsidRDefault="003C1DE8" w:rsidP="002F7D39">
      <w:pPr>
        <w:pStyle w:val="Estilo2"/>
        <w:rPr>
          <w:b w:val="0"/>
          <w:color w:val="auto"/>
          <w:sz w:val="22"/>
        </w:rPr>
      </w:pPr>
      <w:r>
        <w:rPr>
          <w:color w:val="auto"/>
          <w:sz w:val="20"/>
        </w:rPr>
        <w:t xml:space="preserve">Figure </w:t>
      </w:r>
      <w:r w:rsidR="00A25520">
        <w:rPr>
          <w:color w:val="auto"/>
          <w:sz w:val="20"/>
        </w:rPr>
        <w:t>8</w:t>
      </w:r>
      <w:r w:rsidR="002F7D39">
        <w:rPr>
          <w:color w:val="auto"/>
          <w:sz w:val="20"/>
        </w:rPr>
        <w:t xml:space="preserve"> – </w:t>
      </w:r>
      <w:r w:rsidR="002F7D39">
        <w:rPr>
          <w:b w:val="0"/>
          <w:color w:val="auto"/>
          <w:sz w:val="20"/>
        </w:rPr>
        <w:t>Distribution of total scores among the 41 proposals.</w:t>
      </w:r>
    </w:p>
    <w:p w:rsidR="002F7D39" w:rsidRDefault="002F7D39" w:rsidP="002F7D39">
      <w:pPr>
        <w:pStyle w:val="Estilo2"/>
        <w:rPr>
          <w:b w:val="0"/>
          <w:color w:val="auto"/>
          <w:sz w:val="22"/>
        </w:rPr>
      </w:pPr>
    </w:p>
    <w:p w:rsidR="002F7D39" w:rsidRDefault="002F7D39" w:rsidP="002F7D39">
      <w:pPr>
        <w:pStyle w:val="Estilo2"/>
        <w:rPr>
          <w:b w:val="0"/>
          <w:color w:val="auto"/>
          <w:sz w:val="22"/>
        </w:rPr>
      </w:pPr>
      <w:r>
        <w:rPr>
          <w:b w:val="0"/>
          <w:color w:val="auto"/>
          <w:sz w:val="22"/>
        </w:rPr>
        <w:t xml:space="preserve">In the group of 14 proposals scored 9, 13 ranked equally (scored 3 in all three evaluation criteria). The EP re-examined these 13 proposals, distinguish them and unanimously </w:t>
      </w:r>
      <w:r>
        <w:rPr>
          <w:b w:val="0"/>
          <w:color w:val="auto"/>
          <w:sz w:val="22"/>
        </w:rPr>
        <w:lastRenderedPageBreak/>
        <w:t>recommended for funding 6 proposals ranked in high category. Due to budget limitations, the CSC could only propose 3 proposals within this group</w:t>
      </w:r>
      <w:r w:rsidR="00A25520">
        <w:rPr>
          <w:b w:val="0"/>
          <w:color w:val="auto"/>
          <w:sz w:val="22"/>
        </w:rPr>
        <w:t>.</w:t>
      </w:r>
    </w:p>
    <w:p w:rsidR="002F7D39" w:rsidRDefault="002F7D39" w:rsidP="002F7D39">
      <w:pPr>
        <w:pStyle w:val="Estilo2"/>
        <w:rPr>
          <w:b w:val="0"/>
          <w:color w:val="auto"/>
          <w:sz w:val="22"/>
        </w:rPr>
      </w:pPr>
    </w:p>
    <w:p w:rsidR="002F7D39" w:rsidRDefault="003C1DE8" w:rsidP="002F7D39">
      <w:pPr>
        <w:pStyle w:val="Estilo2"/>
        <w:rPr>
          <w:b w:val="0"/>
          <w:color w:val="auto"/>
          <w:sz w:val="22"/>
        </w:rPr>
      </w:pPr>
      <w:r>
        <w:rPr>
          <w:b w:val="0"/>
          <w:color w:val="auto"/>
          <w:sz w:val="22"/>
        </w:rPr>
        <w:t>The</w:t>
      </w:r>
      <w:r w:rsidR="002F7D39">
        <w:rPr>
          <w:b w:val="0"/>
          <w:color w:val="auto"/>
          <w:sz w:val="22"/>
        </w:rPr>
        <w:t xml:space="preserve"> </w:t>
      </w:r>
      <w:r w:rsidR="002F7D39" w:rsidRPr="0024130A">
        <w:rPr>
          <w:color w:val="auto"/>
          <w:sz w:val="22"/>
        </w:rPr>
        <w:t>shortlist of 16 proposals</w:t>
      </w:r>
      <w:r w:rsidR="002F7D39">
        <w:rPr>
          <w:b w:val="0"/>
          <w:color w:val="auto"/>
          <w:sz w:val="22"/>
        </w:rPr>
        <w:t xml:space="preserve"> </w:t>
      </w:r>
      <w:r w:rsidR="00A25520">
        <w:rPr>
          <w:b w:val="0"/>
          <w:color w:val="auto"/>
          <w:sz w:val="22"/>
        </w:rPr>
        <w:t>selected</w:t>
      </w:r>
      <w:r w:rsidR="002F7D39">
        <w:rPr>
          <w:b w:val="0"/>
          <w:color w:val="auto"/>
          <w:sz w:val="22"/>
        </w:rPr>
        <w:t xml:space="preserve"> fo</w:t>
      </w:r>
      <w:r w:rsidR="00A25520">
        <w:rPr>
          <w:b w:val="0"/>
          <w:color w:val="auto"/>
          <w:sz w:val="22"/>
        </w:rPr>
        <w:t>r funding by the CSC, represents</w:t>
      </w:r>
      <w:r w:rsidR="002F7D39">
        <w:rPr>
          <w:b w:val="0"/>
          <w:color w:val="auto"/>
          <w:sz w:val="22"/>
        </w:rPr>
        <w:t xml:space="preserve"> about 39% of the 41 full proposals submitted in this Step. The distribution of topics among the</w:t>
      </w:r>
      <w:r>
        <w:rPr>
          <w:b w:val="0"/>
          <w:color w:val="auto"/>
          <w:sz w:val="22"/>
        </w:rPr>
        <w:t>se</w:t>
      </w:r>
      <w:r w:rsidR="002F7D39">
        <w:rPr>
          <w:b w:val="0"/>
          <w:color w:val="auto"/>
          <w:sz w:val="22"/>
        </w:rPr>
        <w:t xml:space="preserve"> 16 proposals is described in Figure </w:t>
      </w:r>
      <w:r w:rsidR="00A25520">
        <w:rPr>
          <w:b w:val="0"/>
          <w:color w:val="auto"/>
          <w:sz w:val="22"/>
        </w:rPr>
        <w:t>9</w:t>
      </w:r>
      <w:r w:rsidR="00F9373D">
        <w:rPr>
          <w:b w:val="0"/>
          <w:color w:val="auto"/>
          <w:sz w:val="22"/>
        </w:rPr>
        <w:t xml:space="preserve">. </w:t>
      </w:r>
      <w:r w:rsidR="002F7D39">
        <w:rPr>
          <w:b w:val="0"/>
          <w:color w:val="auto"/>
          <w:sz w:val="22"/>
        </w:rPr>
        <w:t>It is interesting to observe the balanced distribution of topics among the proposals recommended for funding.</w:t>
      </w:r>
    </w:p>
    <w:p w:rsidR="002F7D39" w:rsidRDefault="002F7D39" w:rsidP="002F7D39">
      <w:pPr>
        <w:pStyle w:val="Estilo2"/>
        <w:rPr>
          <w:b w:val="0"/>
          <w:color w:val="auto"/>
          <w:sz w:val="22"/>
        </w:rPr>
      </w:pPr>
    </w:p>
    <w:p w:rsidR="002F7D39" w:rsidRDefault="002F7D39" w:rsidP="00F9373D">
      <w:pPr>
        <w:pStyle w:val="Estilo2"/>
        <w:jc w:val="center"/>
        <w:rPr>
          <w:b w:val="0"/>
          <w:color w:val="auto"/>
          <w:sz w:val="22"/>
        </w:rPr>
      </w:pPr>
      <w:r w:rsidRPr="008752AC">
        <w:rPr>
          <w:b w:val="0"/>
          <w:noProof/>
          <w:color w:val="auto"/>
          <w:sz w:val="22"/>
          <w:lang w:val="it-IT" w:eastAsia="it-IT"/>
        </w:rPr>
        <w:drawing>
          <wp:inline distT="0" distB="0" distL="0" distR="0">
            <wp:extent cx="2647950" cy="1733550"/>
            <wp:effectExtent l="0" t="0" r="19050" b="1905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F7D39" w:rsidRDefault="002F7D39" w:rsidP="002F7D39">
      <w:pPr>
        <w:pStyle w:val="Estilo2"/>
        <w:rPr>
          <w:b w:val="0"/>
          <w:color w:val="auto"/>
          <w:sz w:val="22"/>
        </w:rPr>
      </w:pPr>
      <w:r>
        <w:rPr>
          <w:color w:val="auto"/>
          <w:sz w:val="20"/>
        </w:rPr>
        <w:t xml:space="preserve">Figure </w:t>
      </w:r>
      <w:r w:rsidR="00A25520">
        <w:rPr>
          <w:color w:val="auto"/>
          <w:sz w:val="20"/>
        </w:rPr>
        <w:t>9</w:t>
      </w:r>
      <w:r>
        <w:rPr>
          <w:color w:val="auto"/>
          <w:sz w:val="20"/>
        </w:rPr>
        <w:t xml:space="preserve"> – </w:t>
      </w:r>
      <w:r>
        <w:rPr>
          <w:b w:val="0"/>
          <w:color w:val="auto"/>
          <w:sz w:val="20"/>
        </w:rPr>
        <w:t>Distribution of topics among the 41 proposals selected for the second step (left). Distribution of topics among the 16 shortlisted proposals recommended for funding (right).</w:t>
      </w:r>
    </w:p>
    <w:p w:rsidR="002F7D39" w:rsidRDefault="002F7D39" w:rsidP="002F7D39">
      <w:pPr>
        <w:pStyle w:val="Estilo2"/>
        <w:rPr>
          <w:b w:val="0"/>
          <w:color w:val="auto"/>
          <w:sz w:val="22"/>
        </w:rPr>
      </w:pPr>
    </w:p>
    <w:p w:rsidR="002F7D39" w:rsidRDefault="002F7D39" w:rsidP="002F7D39">
      <w:pPr>
        <w:pStyle w:val="Estilo2"/>
        <w:rPr>
          <w:b w:val="0"/>
          <w:color w:val="auto"/>
          <w:sz w:val="22"/>
        </w:rPr>
      </w:pPr>
      <w:r>
        <w:rPr>
          <w:b w:val="0"/>
          <w:color w:val="auto"/>
          <w:sz w:val="22"/>
        </w:rPr>
        <w:t xml:space="preserve">In Table </w:t>
      </w:r>
      <w:r w:rsidR="00A25520">
        <w:rPr>
          <w:b w:val="0"/>
          <w:color w:val="auto"/>
          <w:sz w:val="22"/>
        </w:rPr>
        <w:t>2</w:t>
      </w:r>
      <w:r>
        <w:rPr>
          <w:b w:val="0"/>
          <w:color w:val="auto"/>
          <w:sz w:val="22"/>
        </w:rPr>
        <w:t xml:space="preserve"> </w:t>
      </w:r>
      <w:r w:rsidR="00A25520">
        <w:rPr>
          <w:b w:val="0"/>
          <w:color w:val="auto"/>
          <w:sz w:val="22"/>
        </w:rPr>
        <w:t>is presented</w:t>
      </w:r>
      <w:r>
        <w:rPr>
          <w:b w:val="0"/>
          <w:color w:val="auto"/>
          <w:sz w:val="22"/>
        </w:rPr>
        <w:t xml:space="preserve"> a summary of the W</w:t>
      </w:r>
      <w:r w:rsidR="00A25520">
        <w:rPr>
          <w:b w:val="0"/>
          <w:color w:val="auto"/>
          <w:sz w:val="22"/>
        </w:rPr>
        <w:t>ater</w:t>
      </w:r>
      <w:r>
        <w:rPr>
          <w:b w:val="0"/>
          <w:color w:val="auto"/>
          <w:sz w:val="22"/>
        </w:rPr>
        <w:t>W</w:t>
      </w:r>
      <w:r w:rsidR="00A25520">
        <w:rPr>
          <w:b w:val="0"/>
          <w:color w:val="auto"/>
          <w:sz w:val="22"/>
        </w:rPr>
        <w:t>orks</w:t>
      </w:r>
      <w:r>
        <w:rPr>
          <w:b w:val="0"/>
          <w:color w:val="auto"/>
          <w:sz w:val="22"/>
        </w:rPr>
        <w:t>2014 Evaluation Process, specifically, the number of pre and full proposals submitted per country, and the distribution of the proposals recommended for funding.</w:t>
      </w:r>
    </w:p>
    <w:p w:rsidR="002F7D39" w:rsidRDefault="002F7D39" w:rsidP="002F7D39">
      <w:pPr>
        <w:pStyle w:val="Estilo2"/>
        <w:rPr>
          <w:b w:val="0"/>
          <w:color w:val="auto"/>
          <w:sz w:val="22"/>
        </w:rPr>
      </w:pPr>
    </w:p>
    <w:p w:rsidR="002F7D39" w:rsidRPr="003C1DE8" w:rsidRDefault="002F7D39" w:rsidP="002F7D39">
      <w:pPr>
        <w:pStyle w:val="Estilo2"/>
        <w:rPr>
          <w:b w:val="0"/>
          <w:color w:val="auto"/>
          <w:sz w:val="20"/>
          <w:szCs w:val="20"/>
        </w:rPr>
      </w:pPr>
      <w:r w:rsidRPr="0061657F">
        <w:rPr>
          <w:color w:val="auto"/>
          <w:sz w:val="20"/>
          <w:szCs w:val="20"/>
        </w:rPr>
        <w:t xml:space="preserve">Table </w:t>
      </w:r>
      <w:r w:rsidR="0061657F" w:rsidRPr="0061657F">
        <w:rPr>
          <w:color w:val="auto"/>
          <w:sz w:val="20"/>
          <w:szCs w:val="20"/>
        </w:rPr>
        <w:t>2</w:t>
      </w:r>
      <w:r w:rsidRPr="003C1DE8">
        <w:rPr>
          <w:b w:val="0"/>
          <w:color w:val="auto"/>
          <w:sz w:val="20"/>
          <w:szCs w:val="20"/>
        </w:rPr>
        <w:t xml:space="preserve"> – Summary of the evaluation process of the WaterWorks 2014 Cofunded Call. The last row of the Table includes average percentages based on the number of countries involved (15 countries).</w:t>
      </w:r>
    </w:p>
    <w:p w:rsidR="002F7D39" w:rsidRDefault="002F7D39" w:rsidP="002F7D39">
      <w:pPr>
        <w:pStyle w:val="Estilo2"/>
        <w:rPr>
          <w:b w:val="0"/>
          <w:color w:val="auto"/>
          <w:sz w:val="22"/>
        </w:rPr>
      </w:pPr>
      <w:r w:rsidRPr="007117D8">
        <w:rPr>
          <w:b w:val="0"/>
          <w:noProof/>
          <w:color w:val="auto"/>
          <w:sz w:val="22"/>
          <w:lang w:val="it-IT" w:eastAsia="it-IT"/>
        </w:rPr>
        <w:drawing>
          <wp:inline distT="0" distB="0" distL="0" distR="0">
            <wp:extent cx="5284381" cy="2930979"/>
            <wp:effectExtent l="0" t="0" r="0" b="3175"/>
            <wp:docPr id="30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89223" cy="2933665"/>
                    </a:xfrm>
                    <a:prstGeom prst="rect">
                      <a:avLst/>
                    </a:prstGeom>
                    <a:noFill/>
                    <a:ln>
                      <a:noFill/>
                    </a:ln>
                    <a:effectLst/>
                    <a:extLst/>
                  </pic:spPr>
                </pic:pic>
              </a:graphicData>
            </a:graphic>
          </wp:inline>
        </w:drawing>
      </w:r>
    </w:p>
    <w:p w:rsidR="00F855CD" w:rsidRPr="0038413B" w:rsidRDefault="002F7D39" w:rsidP="003836A3">
      <w:pPr>
        <w:pStyle w:val="Estilo2"/>
        <w:rPr>
          <w:color w:val="auto"/>
          <w:sz w:val="22"/>
        </w:rPr>
      </w:pPr>
      <w:r>
        <w:rPr>
          <w:b w:val="0"/>
          <w:color w:val="auto"/>
          <w:sz w:val="22"/>
        </w:rPr>
        <w:lastRenderedPageBreak/>
        <w:t xml:space="preserve">One can observe that all partner countries are presented in the top 16 shortlisted proposals recommended for funding. </w:t>
      </w:r>
      <w:r w:rsidRPr="00082366">
        <w:rPr>
          <w:b w:val="0"/>
          <w:color w:val="auto"/>
          <w:sz w:val="22"/>
        </w:rPr>
        <w:t>Considering the total number of proposals submitted to the WW2014 Call (106), we h</w:t>
      </w:r>
      <w:r>
        <w:rPr>
          <w:b w:val="0"/>
          <w:color w:val="auto"/>
          <w:sz w:val="22"/>
        </w:rPr>
        <w:t xml:space="preserve">ave a </w:t>
      </w:r>
      <w:r w:rsidRPr="003C1DE8">
        <w:rPr>
          <w:color w:val="auto"/>
          <w:sz w:val="22"/>
        </w:rPr>
        <w:t>success rate of about 15%.</w:t>
      </w:r>
      <w:r w:rsidR="0038413B">
        <w:rPr>
          <w:color w:val="auto"/>
          <w:sz w:val="22"/>
        </w:rPr>
        <w:t xml:space="preserve"> </w:t>
      </w:r>
      <w:r w:rsidR="003C1DE8">
        <w:rPr>
          <w:b w:val="0"/>
          <w:color w:val="auto"/>
          <w:sz w:val="22"/>
          <w:lang w:val="en-US"/>
        </w:rPr>
        <w:t xml:space="preserve">The </w:t>
      </w:r>
      <w:r w:rsidR="003C1DE8" w:rsidRPr="0038413B">
        <w:rPr>
          <w:color w:val="auto"/>
          <w:sz w:val="22"/>
          <w:lang w:val="en-US"/>
        </w:rPr>
        <w:t>total funding invested in the projects amount</w:t>
      </w:r>
      <w:r w:rsidR="0038413B" w:rsidRPr="0038413B">
        <w:rPr>
          <w:color w:val="auto"/>
          <w:sz w:val="22"/>
          <w:lang w:val="en-US"/>
        </w:rPr>
        <w:t>s</w:t>
      </w:r>
      <w:r w:rsidR="003C1DE8" w:rsidRPr="0038413B">
        <w:rPr>
          <w:color w:val="auto"/>
          <w:sz w:val="22"/>
          <w:lang w:val="en-US"/>
        </w:rPr>
        <w:t xml:space="preserve"> to </w:t>
      </w:r>
      <w:r w:rsidR="00641F67">
        <w:rPr>
          <w:color w:val="auto"/>
          <w:sz w:val="22"/>
          <w:lang w:val="en-US"/>
        </w:rPr>
        <w:t>€</w:t>
      </w:r>
      <w:r w:rsidR="00641F67" w:rsidRPr="00641F67">
        <w:rPr>
          <w:color w:val="auto"/>
          <w:sz w:val="22"/>
          <w:lang w:val="en-US"/>
        </w:rPr>
        <w:t>13.979.751</w:t>
      </w:r>
      <w:r w:rsidR="003C1DE8" w:rsidRPr="00641F67">
        <w:rPr>
          <w:b w:val="0"/>
          <w:color w:val="auto"/>
          <w:sz w:val="22"/>
          <w:lang w:val="en-US"/>
        </w:rPr>
        <w:t>,</w:t>
      </w:r>
      <w:r w:rsidR="003C1DE8" w:rsidRPr="0038413B">
        <w:rPr>
          <w:color w:val="auto"/>
          <w:sz w:val="22"/>
          <w:lang w:val="en-US"/>
        </w:rPr>
        <w:t xml:space="preserve"> </w:t>
      </w:r>
      <w:r w:rsidR="003C1DE8">
        <w:rPr>
          <w:b w:val="0"/>
          <w:color w:val="auto"/>
          <w:sz w:val="22"/>
          <w:lang w:val="en-US"/>
        </w:rPr>
        <w:t xml:space="preserve">including the EC contribution. </w:t>
      </w:r>
      <w:r w:rsidR="003C1DE8" w:rsidRPr="003C1DE8">
        <w:rPr>
          <w:b w:val="0"/>
          <w:color w:val="auto"/>
          <w:sz w:val="22"/>
          <w:lang w:val="en-US"/>
        </w:rPr>
        <w:t>The efforts made by the funding partners participating in this call guaranteed the maximisation of the allocated EC fund</w:t>
      </w:r>
      <w:r w:rsidR="0038413B">
        <w:rPr>
          <w:b w:val="0"/>
          <w:color w:val="auto"/>
          <w:sz w:val="22"/>
          <w:lang w:val="en-US"/>
        </w:rPr>
        <w:t>s (</w:t>
      </w:r>
      <w:r w:rsidR="003836A3">
        <w:rPr>
          <w:b w:val="0"/>
          <w:color w:val="auto"/>
          <w:sz w:val="22"/>
          <w:lang w:val="en-US"/>
        </w:rPr>
        <w:t>ca. 4.</w:t>
      </w:r>
      <w:r w:rsidR="00641F67">
        <w:rPr>
          <w:b w:val="0"/>
          <w:color w:val="auto"/>
          <w:sz w:val="22"/>
          <w:lang w:val="en-US"/>
        </w:rPr>
        <w:t>6</w:t>
      </w:r>
      <w:r w:rsidR="003836A3">
        <w:rPr>
          <w:b w:val="0"/>
          <w:color w:val="auto"/>
          <w:sz w:val="22"/>
          <w:lang w:val="en-US"/>
        </w:rPr>
        <w:t xml:space="preserve"> M€</w:t>
      </w:r>
      <w:r w:rsidR="0038413B">
        <w:rPr>
          <w:b w:val="0"/>
          <w:color w:val="auto"/>
          <w:sz w:val="22"/>
          <w:lang w:val="en-US"/>
        </w:rPr>
        <w:t>)</w:t>
      </w:r>
      <w:r w:rsidR="003836A3">
        <w:rPr>
          <w:b w:val="0"/>
          <w:color w:val="auto"/>
          <w:sz w:val="22"/>
          <w:lang w:val="en-US"/>
        </w:rPr>
        <w:t>.</w:t>
      </w:r>
    </w:p>
    <w:sectPr w:rsidR="00F855CD" w:rsidRPr="0038413B" w:rsidSect="004F293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trackRevisions/>
  <w:defaultTabStop w:val="708"/>
  <w:hyphenationZone w:val="425"/>
  <w:characterSpacingControl w:val="doNotCompress"/>
  <w:compat/>
  <w:rsids>
    <w:rsidRoot w:val="006F788F"/>
    <w:rsid w:val="0000429C"/>
    <w:rsid w:val="000751DC"/>
    <w:rsid w:val="0010330C"/>
    <w:rsid w:val="002643F1"/>
    <w:rsid w:val="00297AE6"/>
    <w:rsid w:val="002F7D39"/>
    <w:rsid w:val="00365414"/>
    <w:rsid w:val="0038244A"/>
    <w:rsid w:val="003836A3"/>
    <w:rsid w:val="0038413B"/>
    <w:rsid w:val="003C1DE8"/>
    <w:rsid w:val="0041333F"/>
    <w:rsid w:val="004E0FC9"/>
    <w:rsid w:val="004F2931"/>
    <w:rsid w:val="005D7E46"/>
    <w:rsid w:val="00607EC8"/>
    <w:rsid w:val="0061657F"/>
    <w:rsid w:val="00641F67"/>
    <w:rsid w:val="00681A9E"/>
    <w:rsid w:val="0069088C"/>
    <w:rsid w:val="006F788F"/>
    <w:rsid w:val="007325CD"/>
    <w:rsid w:val="00751B09"/>
    <w:rsid w:val="00781A64"/>
    <w:rsid w:val="007E5AAA"/>
    <w:rsid w:val="00826F43"/>
    <w:rsid w:val="00857CF3"/>
    <w:rsid w:val="009619CE"/>
    <w:rsid w:val="00A25520"/>
    <w:rsid w:val="00A26F36"/>
    <w:rsid w:val="00A61DBC"/>
    <w:rsid w:val="00A748B8"/>
    <w:rsid w:val="00BE7CE1"/>
    <w:rsid w:val="00C140B0"/>
    <w:rsid w:val="00C32205"/>
    <w:rsid w:val="00C63EE4"/>
    <w:rsid w:val="00CA6047"/>
    <w:rsid w:val="00F855CD"/>
    <w:rsid w:val="00F9373D"/>
    <w:rsid w:val="00FD12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293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325C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25CD"/>
    <w:rPr>
      <w:rFonts w:ascii="Tahoma" w:hAnsi="Tahoma" w:cs="Tahoma"/>
      <w:sz w:val="16"/>
      <w:szCs w:val="16"/>
    </w:rPr>
  </w:style>
  <w:style w:type="paragraph" w:customStyle="1" w:styleId="Estilo2">
    <w:name w:val="Estilo2"/>
    <w:basedOn w:val="Normale"/>
    <w:qFormat/>
    <w:rsid w:val="002F7D39"/>
    <w:pPr>
      <w:spacing w:after="120"/>
      <w:jc w:val="both"/>
    </w:pPr>
    <w:rPr>
      <w:rFonts w:ascii="Gill Sans MT" w:hAnsi="Gill Sans MT" w:cs="Arial"/>
      <w:b/>
      <w:color w:val="4F81BD" w:themeColor="accent1"/>
      <w:sz w:val="24"/>
      <w:lang w:val="en-GB"/>
    </w:rPr>
  </w:style>
  <w:style w:type="paragraph" w:styleId="NormaleWeb">
    <w:name w:val="Normal (Web)"/>
    <w:basedOn w:val="Normale"/>
    <w:uiPriority w:val="99"/>
    <w:semiHidden/>
    <w:unhideWhenUsed/>
    <w:rsid w:val="002F7D39"/>
    <w:pPr>
      <w:spacing w:before="100" w:beforeAutospacing="1" w:after="100" w:afterAutospacing="1" w:line="240" w:lineRule="auto"/>
    </w:pPr>
    <w:rPr>
      <w:rFonts w:ascii="Times New Roman" w:eastAsiaTheme="minorEastAsia" w:hAnsi="Times New Roman" w:cs="Times New Roman"/>
      <w:sz w:val="24"/>
      <w:szCs w:val="24"/>
      <w:lang w:eastAsia="pt-PT"/>
    </w:rPr>
  </w:style>
  <w:style w:type="character" w:styleId="Rimandocommento">
    <w:name w:val="annotation reference"/>
    <w:basedOn w:val="Carpredefinitoparagrafo"/>
    <w:uiPriority w:val="99"/>
    <w:semiHidden/>
    <w:unhideWhenUsed/>
    <w:rsid w:val="00641F67"/>
    <w:rPr>
      <w:sz w:val="16"/>
      <w:szCs w:val="16"/>
    </w:rPr>
  </w:style>
  <w:style w:type="paragraph" w:styleId="Testocommento">
    <w:name w:val="annotation text"/>
    <w:basedOn w:val="Normale"/>
    <w:link w:val="TestocommentoCarattere"/>
    <w:uiPriority w:val="99"/>
    <w:semiHidden/>
    <w:unhideWhenUsed/>
    <w:rsid w:val="00641F6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41F67"/>
    <w:rPr>
      <w:sz w:val="20"/>
      <w:szCs w:val="20"/>
    </w:rPr>
  </w:style>
  <w:style w:type="paragraph" w:styleId="Soggettocommento">
    <w:name w:val="annotation subject"/>
    <w:basedOn w:val="Testocommento"/>
    <w:next w:val="Testocommento"/>
    <w:link w:val="SoggettocommentoCarattere"/>
    <w:uiPriority w:val="99"/>
    <w:semiHidden/>
    <w:unhideWhenUsed/>
    <w:rsid w:val="00641F67"/>
    <w:rPr>
      <w:b/>
      <w:bCs/>
    </w:rPr>
  </w:style>
  <w:style w:type="character" w:customStyle="1" w:styleId="SoggettocommentoCarattere">
    <w:name w:val="Soggetto commento Carattere"/>
    <w:basedOn w:val="TestocommentoCarattere"/>
    <w:link w:val="Soggettocommento"/>
    <w:uiPriority w:val="99"/>
    <w:semiHidden/>
    <w:rsid w:val="00641F6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arcter"/>
    <w:uiPriority w:val="99"/>
    <w:semiHidden/>
    <w:unhideWhenUsed/>
    <w:rsid w:val="007325CD"/>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7325CD"/>
    <w:rPr>
      <w:rFonts w:ascii="Tahoma" w:hAnsi="Tahoma" w:cs="Tahoma"/>
      <w:sz w:val="16"/>
      <w:szCs w:val="16"/>
    </w:rPr>
  </w:style>
  <w:style w:type="paragraph" w:customStyle="1" w:styleId="Estilo2">
    <w:name w:val="Estilo2"/>
    <w:basedOn w:val="Normal"/>
    <w:qFormat/>
    <w:rsid w:val="002F7D39"/>
    <w:pPr>
      <w:spacing w:after="120"/>
      <w:jc w:val="both"/>
    </w:pPr>
    <w:rPr>
      <w:rFonts w:ascii="Gill Sans MT" w:hAnsi="Gill Sans MT" w:cs="Arial"/>
      <w:b/>
      <w:color w:val="4F81BD" w:themeColor="accent1"/>
      <w:sz w:val="24"/>
      <w:lang w:val="en-GB"/>
    </w:rPr>
  </w:style>
  <w:style w:type="paragraph" w:styleId="NormalWeb">
    <w:name w:val="Normal (Web)"/>
    <w:basedOn w:val="Normal"/>
    <w:uiPriority w:val="99"/>
    <w:semiHidden/>
    <w:unhideWhenUsed/>
    <w:rsid w:val="002F7D39"/>
    <w:pPr>
      <w:spacing w:before="100" w:beforeAutospacing="1" w:after="100" w:afterAutospacing="1" w:line="240" w:lineRule="auto"/>
    </w:pPr>
    <w:rPr>
      <w:rFonts w:ascii="Times New Roman" w:eastAsiaTheme="minorEastAsia" w:hAnsi="Times New Roman" w:cs="Times New Roman"/>
      <w:sz w:val="24"/>
      <w:szCs w:val="24"/>
      <w:lang w:eastAsia="pt-PT"/>
    </w:rPr>
  </w:style>
  <w:style w:type="character" w:styleId="Refdecomentrio">
    <w:name w:val="annotation reference"/>
    <w:basedOn w:val="Tipodeletrapredefinidodopargrafo"/>
    <w:uiPriority w:val="99"/>
    <w:semiHidden/>
    <w:unhideWhenUsed/>
    <w:rsid w:val="00641F67"/>
    <w:rPr>
      <w:sz w:val="16"/>
      <w:szCs w:val="16"/>
    </w:rPr>
  </w:style>
  <w:style w:type="paragraph" w:styleId="Textodecomentrio">
    <w:name w:val="annotation text"/>
    <w:basedOn w:val="Normal"/>
    <w:link w:val="TextodecomentrioCarcter"/>
    <w:uiPriority w:val="99"/>
    <w:semiHidden/>
    <w:unhideWhenUsed/>
    <w:rsid w:val="00641F67"/>
    <w:pPr>
      <w:spacing w:line="240" w:lineRule="auto"/>
    </w:pPr>
    <w:rPr>
      <w:sz w:val="20"/>
      <w:szCs w:val="20"/>
    </w:rPr>
  </w:style>
  <w:style w:type="character" w:customStyle="1" w:styleId="TextodecomentrioCarcter">
    <w:name w:val="Texto de comentário Carácter"/>
    <w:basedOn w:val="Tipodeletrapredefinidodopargrafo"/>
    <w:link w:val="Textodecomentrio"/>
    <w:uiPriority w:val="99"/>
    <w:semiHidden/>
    <w:rsid w:val="00641F67"/>
    <w:rPr>
      <w:sz w:val="20"/>
      <w:szCs w:val="20"/>
    </w:rPr>
  </w:style>
  <w:style w:type="paragraph" w:styleId="Assuntodecomentrio">
    <w:name w:val="annotation subject"/>
    <w:basedOn w:val="Textodecomentrio"/>
    <w:next w:val="Textodecomentrio"/>
    <w:link w:val="AssuntodecomentrioCarcter"/>
    <w:uiPriority w:val="99"/>
    <w:semiHidden/>
    <w:unhideWhenUsed/>
    <w:rsid w:val="00641F67"/>
    <w:rPr>
      <w:b/>
      <w:bCs/>
    </w:rPr>
  </w:style>
  <w:style w:type="character" w:customStyle="1" w:styleId="AssuntodecomentrioCarcter">
    <w:name w:val="Assunto de comentário Carácter"/>
    <w:basedOn w:val="TextodecomentrioCarcter"/>
    <w:link w:val="Assuntodecomentrio"/>
    <w:uiPriority w:val="99"/>
    <w:semiHidden/>
    <w:rsid w:val="00641F67"/>
    <w:rPr>
      <w:b/>
      <w:bCs/>
      <w:sz w:val="20"/>
      <w:szCs w:val="20"/>
    </w:rPr>
  </w:style>
</w:styles>
</file>

<file path=word/webSettings.xml><?xml version="1.0" encoding="utf-8"?>
<w:webSettings xmlns:r="http://schemas.openxmlformats.org/officeDocument/2006/relationships" xmlns:w="http://schemas.openxmlformats.org/wordprocessingml/2006/main">
  <w:divs>
    <w:div w:id="225262459">
      <w:bodyDiv w:val="1"/>
      <w:marLeft w:val="0"/>
      <w:marRight w:val="0"/>
      <w:marTop w:val="0"/>
      <w:marBottom w:val="0"/>
      <w:divBdr>
        <w:top w:val="none" w:sz="0" w:space="0" w:color="auto"/>
        <w:left w:val="none" w:sz="0" w:space="0" w:color="auto"/>
        <w:bottom w:val="none" w:sz="0" w:space="0" w:color="auto"/>
        <w:right w:val="none" w:sz="0" w:space="0" w:color="auto"/>
      </w:divBdr>
      <w:divsChild>
        <w:div w:id="159200984">
          <w:marLeft w:val="0"/>
          <w:marRight w:val="0"/>
          <w:marTop w:val="0"/>
          <w:marBottom w:val="0"/>
          <w:divBdr>
            <w:top w:val="none" w:sz="0" w:space="0" w:color="auto"/>
            <w:left w:val="none" w:sz="0" w:space="0" w:color="auto"/>
            <w:bottom w:val="none" w:sz="0" w:space="0" w:color="auto"/>
            <w:right w:val="none" w:sz="0" w:space="0" w:color="auto"/>
          </w:divBdr>
          <w:divsChild>
            <w:div w:id="1428114581">
              <w:marLeft w:val="0"/>
              <w:marRight w:val="0"/>
              <w:marTop w:val="0"/>
              <w:marBottom w:val="0"/>
              <w:divBdr>
                <w:top w:val="none" w:sz="0" w:space="0" w:color="auto"/>
                <w:left w:val="none" w:sz="0" w:space="0" w:color="auto"/>
                <w:bottom w:val="none" w:sz="0" w:space="0" w:color="auto"/>
                <w:right w:val="none" w:sz="0" w:space="0" w:color="auto"/>
              </w:divBdr>
              <w:divsChild>
                <w:div w:id="328488611">
                  <w:marLeft w:val="0"/>
                  <w:marRight w:val="0"/>
                  <w:marTop w:val="0"/>
                  <w:marBottom w:val="0"/>
                  <w:divBdr>
                    <w:top w:val="none" w:sz="0" w:space="0" w:color="auto"/>
                    <w:left w:val="none" w:sz="0" w:space="0" w:color="auto"/>
                    <w:bottom w:val="none" w:sz="0" w:space="0" w:color="auto"/>
                    <w:right w:val="none" w:sz="0" w:space="0" w:color="auto"/>
                  </w:divBdr>
                  <w:divsChild>
                    <w:div w:id="2010711351">
                      <w:marLeft w:val="0"/>
                      <w:marRight w:val="0"/>
                      <w:marTop w:val="0"/>
                      <w:marBottom w:val="0"/>
                      <w:divBdr>
                        <w:top w:val="none" w:sz="0" w:space="0" w:color="auto"/>
                        <w:left w:val="none" w:sz="0" w:space="0" w:color="auto"/>
                        <w:bottom w:val="none" w:sz="0" w:space="0" w:color="auto"/>
                        <w:right w:val="none" w:sz="0" w:space="0" w:color="auto"/>
                      </w:divBdr>
                      <w:divsChild>
                        <w:div w:id="894318235">
                          <w:marLeft w:val="0"/>
                          <w:marRight w:val="0"/>
                          <w:marTop w:val="0"/>
                          <w:marBottom w:val="0"/>
                          <w:divBdr>
                            <w:top w:val="none" w:sz="0" w:space="0" w:color="auto"/>
                            <w:left w:val="none" w:sz="0" w:space="0" w:color="auto"/>
                            <w:bottom w:val="none" w:sz="0" w:space="0" w:color="auto"/>
                            <w:right w:val="none" w:sz="0" w:space="0" w:color="auto"/>
                          </w:divBdr>
                          <w:divsChild>
                            <w:div w:id="134508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624533">
      <w:bodyDiv w:val="1"/>
      <w:marLeft w:val="0"/>
      <w:marRight w:val="0"/>
      <w:marTop w:val="0"/>
      <w:marBottom w:val="0"/>
      <w:divBdr>
        <w:top w:val="none" w:sz="0" w:space="0" w:color="auto"/>
        <w:left w:val="none" w:sz="0" w:space="0" w:color="auto"/>
        <w:bottom w:val="none" w:sz="0" w:space="0" w:color="auto"/>
        <w:right w:val="none" w:sz="0" w:space="0" w:color="auto"/>
      </w:divBdr>
    </w:div>
    <w:div w:id="1507406007">
      <w:bodyDiv w:val="1"/>
      <w:marLeft w:val="0"/>
      <w:marRight w:val="0"/>
      <w:marTop w:val="0"/>
      <w:marBottom w:val="0"/>
      <w:divBdr>
        <w:top w:val="none" w:sz="0" w:space="0" w:color="auto"/>
        <w:left w:val="none" w:sz="0" w:space="0" w:color="auto"/>
        <w:bottom w:val="none" w:sz="0" w:space="0" w:color="auto"/>
        <w:right w:val="none" w:sz="0" w:space="0" w:color="auto"/>
      </w:divBdr>
    </w:div>
    <w:div w:id="1841774850">
      <w:bodyDiv w:val="1"/>
      <w:marLeft w:val="0"/>
      <w:marRight w:val="0"/>
      <w:marTop w:val="0"/>
      <w:marBottom w:val="0"/>
      <w:divBdr>
        <w:top w:val="none" w:sz="0" w:space="0" w:color="auto"/>
        <w:left w:val="none" w:sz="0" w:space="0" w:color="auto"/>
        <w:bottom w:val="none" w:sz="0" w:space="0" w:color="auto"/>
        <w:right w:val="none" w:sz="0" w:space="0" w:color="auto"/>
      </w:divBdr>
      <w:divsChild>
        <w:div w:id="367292397">
          <w:marLeft w:val="0"/>
          <w:marRight w:val="0"/>
          <w:marTop w:val="0"/>
          <w:marBottom w:val="0"/>
          <w:divBdr>
            <w:top w:val="none" w:sz="0" w:space="0" w:color="auto"/>
            <w:left w:val="none" w:sz="0" w:space="0" w:color="auto"/>
            <w:bottom w:val="none" w:sz="0" w:space="0" w:color="auto"/>
            <w:right w:val="none" w:sz="0" w:space="0" w:color="auto"/>
          </w:divBdr>
          <w:divsChild>
            <w:div w:id="941105338">
              <w:marLeft w:val="0"/>
              <w:marRight w:val="0"/>
              <w:marTop w:val="0"/>
              <w:marBottom w:val="0"/>
              <w:divBdr>
                <w:top w:val="none" w:sz="0" w:space="0" w:color="auto"/>
                <w:left w:val="none" w:sz="0" w:space="0" w:color="auto"/>
                <w:bottom w:val="none" w:sz="0" w:space="0" w:color="auto"/>
                <w:right w:val="none" w:sz="0" w:space="0" w:color="auto"/>
              </w:divBdr>
              <w:divsChild>
                <w:div w:id="1612975243">
                  <w:marLeft w:val="0"/>
                  <w:marRight w:val="0"/>
                  <w:marTop w:val="0"/>
                  <w:marBottom w:val="0"/>
                  <w:divBdr>
                    <w:top w:val="none" w:sz="0" w:space="0" w:color="auto"/>
                    <w:left w:val="none" w:sz="0" w:space="0" w:color="auto"/>
                    <w:bottom w:val="none" w:sz="0" w:space="0" w:color="auto"/>
                    <w:right w:val="none" w:sz="0" w:space="0" w:color="auto"/>
                  </w:divBdr>
                  <w:divsChild>
                    <w:div w:id="415909161">
                      <w:marLeft w:val="0"/>
                      <w:marRight w:val="0"/>
                      <w:marTop w:val="0"/>
                      <w:marBottom w:val="0"/>
                      <w:divBdr>
                        <w:top w:val="none" w:sz="0" w:space="0" w:color="auto"/>
                        <w:left w:val="none" w:sz="0" w:space="0" w:color="auto"/>
                        <w:bottom w:val="none" w:sz="0" w:space="0" w:color="auto"/>
                        <w:right w:val="none" w:sz="0" w:space="0" w:color="auto"/>
                      </w:divBdr>
                      <w:divsChild>
                        <w:div w:id="2000038312">
                          <w:marLeft w:val="0"/>
                          <w:marRight w:val="0"/>
                          <w:marTop w:val="0"/>
                          <w:marBottom w:val="0"/>
                          <w:divBdr>
                            <w:top w:val="none" w:sz="0" w:space="0" w:color="auto"/>
                            <w:left w:val="none" w:sz="0" w:space="0" w:color="auto"/>
                            <w:bottom w:val="none" w:sz="0" w:space="0" w:color="auto"/>
                            <w:right w:val="none" w:sz="0" w:space="0" w:color="auto"/>
                          </w:divBdr>
                          <w:divsChild>
                            <w:div w:id="60543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4.xml"/><Relationship Id="rId12" Type="http://schemas.openxmlformats.org/officeDocument/2006/relationships/chart" Target="charts/chart9.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emf"/><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chart" Target="charts/chart8.xml"/><Relationship Id="rId5" Type="http://schemas.openxmlformats.org/officeDocument/2006/relationships/chart" Target="charts/chart2.xml"/><Relationship Id="rId15" Type="http://schemas.openxmlformats.org/officeDocument/2006/relationships/chart" Target="charts/chart10.xml"/><Relationship Id="rId10" Type="http://schemas.openxmlformats.org/officeDocument/2006/relationships/chart" Target="charts/chart7.xml"/><Relationship Id="rId19" Type="http://schemas.microsoft.com/office/2007/relationships/stylesWithEffects" Target="stylesWithEffects.xml"/><Relationship Id="rId4" Type="http://schemas.openxmlformats.org/officeDocument/2006/relationships/chart" Target="charts/chart1.xml"/><Relationship Id="rId9" Type="http://schemas.openxmlformats.org/officeDocument/2006/relationships/chart" Target="charts/chart6.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Santos\Desktop\DRI_Trabalho\Water_JPI\JOINT%20ACTIVITIES\WaterWorks2014\Deliverables\D2.2\DocTrab_ww2014-call-submitted-project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rui.munha\Desktop\DESKTOP%2029102015\WW2014%20EVALUATION%20DESKTOP\00%20FILES%20BACKUP%2020150929\03%20Evaluation%20Process\Call%20Statistics\WW2014_Quality_Statistic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Santos\Desktop\ww2014-call-submitted-projec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Santos\Desktop\ww2014-call-submitted-projec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ct.mct.pt\dept\DREBM\JPI-WATER\02%20WW2014_Call_Docs\03%20Evaluation%20Process\WW2014_Statistic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ct.mct.pt\dept\DREBM\JPI-WATER\02%20WW2014_Call_Docs\03%20Evaluation%20Process\WW2014_Statistic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GSantos\Desktop\DRI_Trabalho\Water_JPI\JOINT%20ACTIVITIES\WaterWorks2014\Deliverables\D2.2\DocTrab_ww2014-call-submitted-project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GSantos\Desktop\DRI_Trabalho\Water_JPI\JOINT%20ACTIVITIES\WaterWorks2014\Deliverables\D2.2\DocTrab_ww2014-call-submitted-project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GSantos\Desktop\DRI_Trabalho\Water_JPI\JOINT%20ACTIVITIES\WaterWorks2014\Deliverables\D2.2\DocTrab_ww2014-call-submitted-project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GSantos\Desktop\04_WW2014_Pre_Proposals_Conditions%20to%20Step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sz="1200"/>
            </a:pPr>
            <a:r>
              <a:rPr lang="pt-PT" sz="1200"/>
              <a:t>Countries Participation in the Call</a:t>
            </a:r>
          </a:p>
        </c:rich>
      </c:tx>
    </c:title>
    <c:plotArea>
      <c:layout/>
      <c:pieChart>
        <c:varyColors val="1"/>
        <c:ser>
          <c:idx val="0"/>
          <c:order val="0"/>
          <c:dLbls>
            <c:dLbl>
              <c:idx val="0"/>
              <c:layout>
                <c:manualLayout>
                  <c:x val="-4.0799185816058771E-2"/>
                  <c:y val="-0.23920567375886526"/>
                </c:manualLayout>
              </c:layout>
              <c:tx>
                <c:rich>
                  <a:bodyPr/>
                  <a:lstStyle/>
                  <a:p>
                    <a:pPr>
                      <a:defRPr>
                        <a:solidFill>
                          <a:schemeClr val="bg1"/>
                        </a:solidFill>
                      </a:defRPr>
                    </a:pPr>
                    <a:r>
                      <a:rPr lang="en-US">
                        <a:solidFill>
                          <a:schemeClr val="bg1"/>
                        </a:solidFill>
                      </a:rPr>
                      <a:t>97% (114)</a:t>
                    </a:r>
                  </a:p>
                </c:rich>
              </c:tx>
              <c:spPr/>
              <c:showPercent val="1"/>
              <c:extLst>
                <c:ext xmlns:c15="http://schemas.microsoft.com/office/drawing/2012/chart" uri="{CE6537A1-D6FC-4f65-9D91-7224C49458BB}"/>
              </c:extLst>
            </c:dLbl>
            <c:dLbl>
              <c:idx val="1"/>
              <c:tx>
                <c:rich>
                  <a:bodyPr/>
                  <a:lstStyle/>
                  <a:p>
                    <a:r>
                      <a:rPr lang="en-US"/>
                      <a:t>3% (4)</a:t>
                    </a:r>
                  </a:p>
                </c:rich>
              </c:tx>
              <c:showPercent val="1"/>
              <c:extLst>
                <c:ext xmlns:c15="http://schemas.microsoft.com/office/drawing/2012/chart" uri="{CE6537A1-D6FC-4f65-9D91-7224C49458BB}"/>
              </c:extLst>
            </c:dLbl>
            <c:spPr>
              <a:noFill/>
              <a:ln>
                <a:noFill/>
              </a:ln>
              <a:effectLst/>
            </c:spPr>
            <c:showPercent val="1"/>
            <c:showLeaderLines val="1"/>
            <c:extLst>
              <c:ext xmlns:c15="http://schemas.microsoft.com/office/drawing/2012/chart" uri="{CE6537A1-D6FC-4f65-9D91-7224C49458BB}"/>
            </c:extLst>
          </c:dLbls>
          <c:cat>
            <c:strRef>
              <c:f>'ww2014-call-submitted-projects-'!$B$713:$B$714</c:f>
              <c:strCache>
                <c:ptCount val="2"/>
                <c:pt idx="0">
                  <c:v>Proposals exclusively involving FPOs</c:v>
                </c:pt>
                <c:pt idx="1">
                  <c:v>Proposals involving non-FPOs</c:v>
                </c:pt>
              </c:strCache>
            </c:strRef>
          </c:cat>
          <c:val>
            <c:numRef>
              <c:f>'ww2014-call-submitted-projects-'!$C$713:$C$714</c:f>
              <c:numCache>
                <c:formatCode>General</c:formatCode>
                <c:ptCount val="2"/>
                <c:pt idx="0">
                  <c:v>114</c:v>
                </c:pt>
                <c:pt idx="1">
                  <c:v>4</c:v>
                </c:pt>
              </c:numCache>
            </c:numRef>
          </c:val>
        </c:ser>
        <c:dLbls>
          <c:showPercent val="1"/>
        </c:dLbls>
        <c:firstSliceAng val="0"/>
      </c:pieChart>
    </c:plotArea>
    <c:legend>
      <c:legendPos val="r"/>
      <c:layout>
        <c:manualLayout>
          <c:xMode val="edge"/>
          <c:yMode val="edge"/>
          <c:x val="0.60647109587492043"/>
          <c:y val="0.36497905846875528"/>
          <c:w val="0.33608370382273689"/>
          <c:h val="0.35466621991400044"/>
        </c:manualLayout>
      </c:layout>
      <c:txPr>
        <a:bodyPr/>
        <a:lstStyle/>
        <a:p>
          <a:pPr>
            <a:defRPr sz="1100"/>
          </a:pPr>
          <a:endParaRPr lang="it-IT"/>
        </a:p>
      </c:txPr>
    </c:legend>
    <c:plotVisOnly val="1"/>
    <c:dispBlanksAs val="zero"/>
  </c:chart>
  <c:spPr>
    <a:ln>
      <a:noFill/>
    </a:ln>
  </c:spPr>
  <c:txPr>
    <a:bodyPr/>
    <a:lstStyle/>
    <a:p>
      <a:pPr>
        <a:defRPr sz="1200">
          <a:latin typeface="Gill Sans MT" panose="020B0502020104020203" pitchFamily="34" charset="0"/>
        </a:defRPr>
      </a:pPr>
      <a:endParaRPr lang="it-IT"/>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it-IT"/>
  <c:chart>
    <c:plotArea>
      <c:layout/>
      <c:pieChart>
        <c:varyColors val="1"/>
        <c:ser>
          <c:idx val="0"/>
          <c:order val="0"/>
          <c:explosion val="25"/>
          <c:dPt>
            <c:idx val="0"/>
            <c:spPr>
              <a:solidFill>
                <a:srgbClr val="FFC000"/>
              </a:solidFill>
            </c:spPr>
          </c:dPt>
          <c:dPt>
            <c:idx val="1"/>
            <c:spPr>
              <a:solidFill>
                <a:srgbClr val="FF0000"/>
              </a:solidFill>
            </c:spPr>
          </c:dPt>
          <c:dPt>
            <c:idx val="2"/>
            <c:spPr>
              <a:solidFill>
                <a:schemeClr val="accent1">
                  <a:lumMod val="60000"/>
                  <a:lumOff val="40000"/>
                </a:schemeClr>
              </a:solidFill>
            </c:spPr>
          </c:dPt>
          <c:dPt>
            <c:idx val="3"/>
            <c:spPr>
              <a:solidFill>
                <a:srgbClr val="7030A0"/>
              </a:solidFill>
            </c:spPr>
          </c:dPt>
          <c:dPt>
            <c:idx val="4"/>
            <c:spPr>
              <a:solidFill>
                <a:srgbClr val="00B050"/>
              </a:solidFill>
            </c:spPr>
          </c:dPt>
          <c:dLbls>
            <c:dLbl>
              <c:idx val="0"/>
              <c:layout>
                <c:manualLayout>
                  <c:x val="-0.15194444444444472"/>
                  <c:y val="-5.5256634587343336E-3"/>
                </c:manualLayout>
              </c:layout>
              <c:showVal val="1"/>
            </c:dLbl>
            <c:dLbl>
              <c:idx val="1"/>
              <c:layout>
                <c:manualLayout>
                  <c:x val="1.2515091863517069E-2"/>
                  <c:y val="-0.11884259259259254"/>
                </c:manualLayout>
              </c:layout>
              <c:showVal val="1"/>
            </c:dLbl>
            <c:dLbl>
              <c:idx val="2"/>
              <c:showVal val="1"/>
            </c:dLbl>
            <c:dLbl>
              <c:idx val="3"/>
              <c:showVal val="1"/>
            </c:dLbl>
            <c:dLbl>
              <c:idx val="4"/>
              <c:showVal val="1"/>
            </c:dLbl>
            <c:dLbl>
              <c:idx val="5"/>
              <c:layout>
                <c:manualLayout>
                  <c:x val="-1.589599737532808E-2"/>
                  <c:y val="1.1574074074074073E-3"/>
                </c:manualLayout>
              </c:layout>
              <c:showVal val="1"/>
            </c:dLbl>
            <c:delete val="1"/>
            <c:spPr>
              <a:ln w="19050">
                <a:noFill/>
              </a:ln>
            </c:spPr>
          </c:dLbls>
          <c:cat>
            <c:strRef>
              <c:f>Sheet1!$D$2:$H$2</c:f>
              <c:strCache>
                <c:ptCount val="5"/>
                <c:pt idx="0">
                  <c:v>TOPIC 1</c:v>
                </c:pt>
                <c:pt idx="1">
                  <c:v>TOPIC 1,2</c:v>
                </c:pt>
                <c:pt idx="2">
                  <c:v>TOPIC 2</c:v>
                </c:pt>
                <c:pt idx="3">
                  <c:v>TOPIC 2,3</c:v>
                </c:pt>
                <c:pt idx="4">
                  <c:v>TOPIC 3</c:v>
                </c:pt>
              </c:strCache>
            </c:strRef>
          </c:cat>
          <c:val>
            <c:numRef>
              <c:f>Sheet1!$D$5:$H$5</c:f>
              <c:numCache>
                <c:formatCode>General</c:formatCode>
                <c:ptCount val="5"/>
                <c:pt idx="0">
                  <c:v>5</c:v>
                </c:pt>
                <c:pt idx="1">
                  <c:v>1</c:v>
                </c:pt>
                <c:pt idx="2">
                  <c:v>4</c:v>
                </c:pt>
                <c:pt idx="3">
                  <c:v>1</c:v>
                </c:pt>
                <c:pt idx="4">
                  <c:v>5</c:v>
                </c:pt>
              </c:numCache>
            </c:numRef>
          </c:val>
        </c:ser>
        <c:firstSliceAng val="0"/>
      </c:pieChart>
    </c:plotArea>
    <c:legend>
      <c:legendPos val="r"/>
      <c:layout>
        <c:manualLayout>
          <c:xMode val="edge"/>
          <c:yMode val="edge"/>
          <c:x val="0.5673419060027568"/>
          <c:y val="0.12420131694064562"/>
          <c:w val="0.3640306652315945"/>
          <c:h val="0.78278644993937152"/>
        </c:manualLayout>
      </c:layout>
    </c:legend>
    <c:plotVisOnly val="1"/>
    <c:dispBlanksAs val="zero"/>
  </c:chart>
  <c:spPr>
    <a:solidFill>
      <a:schemeClr val="lt1"/>
    </a:solidFill>
    <a:ln w="25400" cap="flat" cmpd="sng" algn="ctr">
      <a:solidFill>
        <a:schemeClr val="accent5"/>
      </a:solidFill>
      <a:prstDash val="solid"/>
    </a:ln>
    <a:effectLst/>
  </c:spPr>
  <c:txPr>
    <a:bodyPr/>
    <a:lstStyle/>
    <a:p>
      <a:pPr>
        <a:defRPr>
          <a:solidFill>
            <a:schemeClr val="dk1"/>
          </a:solidFill>
          <a:latin typeface="+mn-lt"/>
          <a:ea typeface="+mn-ea"/>
          <a:cs typeface="+mn-cs"/>
        </a:defRPr>
      </a:pPr>
      <a:endParaRPr lang="it-IT"/>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it-IT"/>
  <c:chart>
    <c:title>
      <c:tx>
        <c:rich>
          <a:bodyPr/>
          <a:lstStyle/>
          <a:p>
            <a:pPr>
              <a:defRPr sz="1200">
                <a:latin typeface="Gill Sans MT" panose="020B0502020104020203" pitchFamily="34" charset="0"/>
              </a:defRPr>
            </a:pPr>
            <a:r>
              <a:rPr lang="pt-PT" sz="1200">
                <a:latin typeface="Gill Sans MT" panose="020B0502020104020203" pitchFamily="34" charset="0"/>
              </a:rPr>
              <a:t>STEP</a:t>
            </a:r>
            <a:r>
              <a:rPr lang="pt-PT" sz="1200" baseline="0">
                <a:latin typeface="Gill Sans MT" panose="020B0502020104020203" pitchFamily="34" charset="0"/>
              </a:rPr>
              <a:t> 1 - </a:t>
            </a:r>
            <a:r>
              <a:rPr lang="pt-PT" sz="1200">
                <a:latin typeface="Gill Sans MT" panose="020B0502020104020203" pitchFamily="34" charset="0"/>
              </a:rPr>
              <a:t>Number of Coordinators</a:t>
            </a:r>
            <a:r>
              <a:rPr lang="pt-PT" sz="1200" baseline="0">
                <a:latin typeface="Gill Sans MT" panose="020B0502020104020203" pitchFamily="34" charset="0"/>
              </a:rPr>
              <a:t> and Partners per Country</a:t>
            </a:r>
            <a:endParaRPr lang="pt-PT" sz="1200">
              <a:latin typeface="Gill Sans MT" panose="020B0502020104020203" pitchFamily="34" charset="0"/>
            </a:endParaRPr>
          </a:p>
        </c:rich>
      </c:tx>
    </c:title>
    <c:plotArea>
      <c:layout/>
      <c:barChart>
        <c:barDir val="col"/>
        <c:grouping val="clustered"/>
        <c:ser>
          <c:idx val="0"/>
          <c:order val="0"/>
          <c:tx>
            <c:strRef>
              <c:f>'ww2014-call-submitted-projects-'!$C$653</c:f>
              <c:strCache>
                <c:ptCount val="1"/>
                <c:pt idx="0">
                  <c:v>Coordinators</c:v>
                </c:pt>
              </c:strCache>
            </c:strRef>
          </c:tx>
          <c:dLbls>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13"/>
              <c:delete val="1"/>
              <c:extLst>
                <c:ext xmlns:c15="http://schemas.microsoft.com/office/drawing/2012/chart" uri="{CE6537A1-D6FC-4f65-9D91-7224C49458BB}"/>
              </c:extLst>
            </c:dLbl>
            <c:spPr>
              <a:noFill/>
              <a:ln>
                <a:noFill/>
              </a:ln>
              <a:effectLst/>
            </c:spPr>
            <c:txPr>
              <a:bodyPr/>
              <a:lstStyle/>
              <a:p>
                <a:pPr>
                  <a:defRPr>
                    <a:latin typeface="Gill Sans MT" panose="020B0502020104020203" pitchFamily="34" charset="0"/>
                  </a:defRPr>
                </a:pPr>
                <a:endParaRPr lang="it-IT"/>
              </a:p>
            </c:txPr>
            <c:showVal val="1"/>
            <c:extLst>
              <c:ext xmlns:c15="http://schemas.microsoft.com/office/drawing/2012/chart" uri="{CE6537A1-D6FC-4f65-9D91-7224C49458BB}">
                <c15:showLeaderLines val="0"/>
              </c:ext>
            </c:extLst>
          </c:dLbls>
          <c:cat>
            <c:strRef>
              <c:f>'ww2014-call-submitted-projects-'!$B$654:$B$672</c:f>
              <c:strCache>
                <c:ptCount val="19"/>
                <c:pt idx="0">
                  <c:v>Belgium</c:v>
                </c:pt>
                <c:pt idx="1">
                  <c:v>Canada</c:v>
                </c:pt>
                <c:pt idx="2">
                  <c:v>China</c:v>
                </c:pt>
                <c:pt idx="3">
                  <c:v>Cyprus</c:v>
                </c:pt>
                <c:pt idx="4">
                  <c:v>Denmark</c:v>
                </c:pt>
                <c:pt idx="5">
                  <c:v>Estonia</c:v>
                </c:pt>
                <c:pt idx="6">
                  <c:v>Finland</c:v>
                </c:pt>
                <c:pt idx="7">
                  <c:v>Ireland</c:v>
                </c:pt>
                <c:pt idx="8">
                  <c:v>Israel</c:v>
                </c:pt>
                <c:pt idx="9">
                  <c:v>Italy</c:v>
                </c:pt>
                <c:pt idx="10">
                  <c:v>Moldova</c:v>
                </c:pt>
                <c:pt idx="11">
                  <c:v>The Netherlands</c:v>
                </c:pt>
                <c:pt idx="12">
                  <c:v>Norway</c:v>
                </c:pt>
                <c:pt idx="13">
                  <c:v>Poland</c:v>
                </c:pt>
                <c:pt idx="14">
                  <c:v>Portugal</c:v>
                </c:pt>
                <c:pt idx="15">
                  <c:v>Romania</c:v>
                </c:pt>
                <c:pt idx="16">
                  <c:v>South Africa</c:v>
                </c:pt>
                <c:pt idx="17">
                  <c:v>Spain</c:v>
                </c:pt>
                <c:pt idx="18">
                  <c:v>Sweden</c:v>
                </c:pt>
              </c:strCache>
            </c:strRef>
          </c:cat>
          <c:val>
            <c:numRef>
              <c:f>'ww2014-call-submitted-projects-'!$C$654:$C$672</c:f>
              <c:numCache>
                <c:formatCode>General</c:formatCode>
                <c:ptCount val="19"/>
                <c:pt idx="0">
                  <c:v>1</c:v>
                </c:pt>
                <c:pt idx="1">
                  <c:v>0</c:v>
                </c:pt>
                <c:pt idx="2">
                  <c:v>0</c:v>
                </c:pt>
                <c:pt idx="3">
                  <c:v>3</c:v>
                </c:pt>
                <c:pt idx="4">
                  <c:v>3</c:v>
                </c:pt>
                <c:pt idx="5">
                  <c:v>1</c:v>
                </c:pt>
                <c:pt idx="6">
                  <c:v>0</c:v>
                </c:pt>
                <c:pt idx="7">
                  <c:v>1</c:v>
                </c:pt>
                <c:pt idx="8">
                  <c:v>2</c:v>
                </c:pt>
                <c:pt idx="9">
                  <c:v>30</c:v>
                </c:pt>
                <c:pt idx="10">
                  <c:v>1</c:v>
                </c:pt>
                <c:pt idx="11">
                  <c:v>1</c:v>
                </c:pt>
                <c:pt idx="12">
                  <c:v>6</c:v>
                </c:pt>
                <c:pt idx="13">
                  <c:v>0</c:v>
                </c:pt>
                <c:pt idx="14">
                  <c:v>17</c:v>
                </c:pt>
                <c:pt idx="15">
                  <c:v>6</c:v>
                </c:pt>
                <c:pt idx="16">
                  <c:v>1</c:v>
                </c:pt>
                <c:pt idx="17">
                  <c:v>37</c:v>
                </c:pt>
                <c:pt idx="18">
                  <c:v>8</c:v>
                </c:pt>
              </c:numCache>
            </c:numRef>
          </c:val>
        </c:ser>
        <c:ser>
          <c:idx val="1"/>
          <c:order val="1"/>
          <c:tx>
            <c:strRef>
              <c:f>'ww2014-call-submitted-projects-'!$D$653</c:f>
              <c:strCache>
                <c:ptCount val="1"/>
                <c:pt idx="0">
                  <c:v>Partners</c:v>
                </c:pt>
              </c:strCache>
            </c:strRef>
          </c:tx>
          <c:dLbls>
            <c:spPr>
              <a:noFill/>
              <a:ln>
                <a:noFill/>
              </a:ln>
              <a:effectLst/>
            </c:spPr>
            <c:txPr>
              <a:bodyPr/>
              <a:lstStyle/>
              <a:p>
                <a:pPr>
                  <a:defRPr>
                    <a:latin typeface="Gill Sans MT" panose="020B0502020104020203" pitchFamily="34" charset="0"/>
                  </a:defRPr>
                </a:pPr>
                <a:endParaRPr lang="it-IT"/>
              </a:p>
            </c:txPr>
            <c:showVal val="1"/>
            <c:extLst>
              <c:ext xmlns:c15="http://schemas.microsoft.com/office/drawing/2012/chart" uri="{CE6537A1-D6FC-4f65-9D91-7224C49458BB}">
                <c15:showLeaderLines val="0"/>
              </c:ext>
            </c:extLst>
          </c:dLbls>
          <c:cat>
            <c:strRef>
              <c:f>'ww2014-call-submitted-projects-'!$B$654:$B$672</c:f>
              <c:strCache>
                <c:ptCount val="19"/>
                <c:pt idx="0">
                  <c:v>Belgium</c:v>
                </c:pt>
                <c:pt idx="1">
                  <c:v>Canada</c:v>
                </c:pt>
                <c:pt idx="2">
                  <c:v>China</c:v>
                </c:pt>
                <c:pt idx="3">
                  <c:v>Cyprus</c:v>
                </c:pt>
                <c:pt idx="4">
                  <c:v>Denmark</c:v>
                </c:pt>
                <c:pt idx="5">
                  <c:v>Estonia</c:v>
                </c:pt>
                <c:pt idx="6">
                  <c:v>Finland</c:v>
                </c:pt>
                <c:pt idx="7">
                  <c:v>Ireland</c:v>
                </c:pt>
                <c:pt idx="8">
                  <c:v>Israel</c:v>
                </c:pt>
                <c:pt idx="9">
                  <c:v>Italy</c:v>
                </c:pt>
                <c:pt idx="10">
                  <c:v>Moldova</c:v>
                </c:pt>
                <c:pt idx="11">
                  <c:v>The Netherlands</c:v>
                </c:pt>
                <c:pt idx="12">
                  <c:v>Norway</c:v>
                </c:pt>
                <c:pt idx="13">
                  <c:v>Poland</c:v>
                </c:pt>
                <c:pt idx="14">
                  <c:v>Portugal</c:v>
                </c:pt>
                <c:pt idx="15">
                  <c:v>Romania</c:v>
                </c:pt>
                <c:pt idx="16">
                  <c:v>South Africa</c:v>
                </c:pt>
                <c:pt idx="17">
                  <c:v>Spain</c:v>
                </c:pt>
                <c:pt idx="18">
                  <c:v>Sweden</c:v>
                </c:pt>
              </c:strCache>
            </c:strRef>
          </c:cat>
          <c:val>
            <c:numRef>
              <c:f>'ww2014-call-submitted-projects-'!$D$654:$D$672</c:f>
              <c:numCache>
                <c:formatCode>General</c:formatCode>
                <c:ptCount val="19"/>
                <c:pt idx="0">
                  <c:v>7</c:v>
                </c:pt>
                <c:pt idx="1">
                  <c:v>1</c:v>
                </c:pt>
                <c:pt idx="2">
                  <c:v>1</c:v>
                </c:pt>
                <c:pt idx="3">
                  <c:v>16</c:v>
                </c:pt>
                <c:pt idx="4">
                  <c:v>28</c:v>
                </c:pt>
                <c:pt idx="5">
                  <c:v>7</c:v>
                </c:pt>
                <c:pt idx="6">
                  <c:v>1</c:v>
                </c:pt>
                <c:pt idx="7">
                  <c:v>20</c:v>
                </c:pt>
                <c:pt idx="8">
                  <c:v>17</c:v>
                </c:pt>
                <c:pt idx="9">
                  <c:v>96</c:v>
                </c:pt>
                <c:pt idx="10">
                  <c:v>4</c:v>
                </c:pt>
                <c:pt idx="11">
                  <c:v>15</c:v>
                </c:pt>
                <c:pt idx="12">
                  <c:v>34</c:v>
                </c:pt>
                <c:pt idx="13">
                  <c:v>1</c:v>
                </c:pt>
                <c:pt idx="14">
                  <c:v>78</c:v>
                </c:pt>
                <c:pt idx="15">
                  <c:v>39</c:v>
                </c:pt>
                <c:pt idx="16">
                  <c:v>10</c:v>
                </c:pt>
                <c:pt idx="17">
                  <c:v>117</c:v>
                </c:pt>
                <c:pt idx="18">
                  <c:v>39</c:v>
                </c:pt>
              </c:numCache>
            </c:numRef>
          </c:val>
        </c:ser>
        <c:axId val="100577280"/>
        <c:axId val="100578816"/>
      </c:barChart>
      <c:catAx>
        <c:axId val="100577280"/>
        <c:scaling>
          <c:orientation val="minMax"/>
        </c:scaling>
        <c:axPos val="b"/>
        <c:numFmt formatCode="General" sourceLinked="0"/>
        <c:majorTickMark val="none"/>
        <c:tickLblPos val="nextTo"/>
        <c:txPr>
          <a:bodyPr/>
          <a:lstStyle/>
          <a:p>
            <a:pPr>
              <a:defRPr>
                <a:latin typeface="Gill Sans MT" panose="020B0502020104020203" pitchFamily="34" charset="0"/>
              </a:defRPr>
            </a:pPr>
            <a:endParaRPr lang="it-IT"/>
          </a:p>
        </c:txPr>
        <c:crossAx val="100578816"/>
        <c:crosses val="autoZero"/>
        <c:auto val="1"/>
        <c:lblAlgn val="ctr"/>
        <c:lblOffset val="100"/>
      </c:catAx>
      <c:valAx>
        <c:axId val="100578816"/>
        <c:scaling>
          <c:orientation val="minMax"/>
        </c:scaling>
        <c:axPos val="l"/>
        <c:majorGridlines/>
        <c:numFmt formatCode="General" sourceLinked="1"/>
        <c:majorTickMark val="none"/>
        <c:tickLblPos val="nextTo"/>
        <c:crossAx val="100577280"/>
        <c:crosses val="autoZero"/>
        <c:crossBetween val="between"/>
      </c:valAx>
    </c:plotArea>
    <c:legend>
      <c:legendPos val="r"/>
      <c:txPr>
        <a:bodyPr/>
        <a:lstStyle/>
        <a:p>
          <a:pPr>
            <a:defRPr>
              <a:latin typeface="Gill Sans MT" panose="020B0502020104020203" pitchFamily="34" charset="0"/>
            </a:defRPr>
          </a:pPr>
          <a:endParaRPr lang="it-IT"/>
        </a:p>
      </c:txPr>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sz="1200"/>
            </a:pPr>
            <a:r>
              <a:rPr lang="pt-PT" sz="1200"/>
              <a:t>Selected Pre-Proposals - Number of Coordinators and Partners per Country</a:t>
            </a:r>
          </a:p>
        </c:rich>
      </c:tx>
    </c:title>
    <c:plotArea>
      <c:layout/>
      <c:barChart>
        <c:barDir val="col"/>
        <c:grouping val="clustered"/>
        <c:ser>
          <c:idx val="0"/>
          <c:order val="0"/>
          <c:tx>
            <c:strRef>
              <c:f>Sheet3!$C$239</c:f>
              <c:strCache>
                <c:ptCount val="1"/>
                <c:pt idx="0">
                  <c:v>Coordinators</c:v>
                </c:pt>
              </c:strCache>
            </c:strRef>
          </c:tx>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5"/>
              <c:delete val="1"/>
              <c:extLst>
                <c:ext xmlns:c15="http://schemas.microsoft.com/office/drawing/2012/chart" uri="{CE6537A1-D6FC-4f65-9D91-7224C49458BB}"/>
              </c:extLst>
            </c:dLbl>
            <c:dLbl>
              <c:idx val="6"/>
              <c:delete val="1"/>
              <c:extLst>
                <c:ext xmlns:c15="http://schemas.microsoft.com/office/drawing/2012/chart" uri="{CE6537A1-D6FC-4f65-9D91-7224C49458BB}"/>
              </c:extLst>
            </c:dLbl>
            <c:dLbl>
              <c:idx val="7"/>
              <c:delete val="1"/>
              <c:extLst>
                <c:ext xmlns:c15="http://schemas.microsoft.com/office/drawing/2012/chart" uri="{CE6537A1-D6FC-4f65-9D91-7224C49458BB}"/>
              </c:extLst>
            </c:dLbl>
            <c:dLbl>
              <c:idx val="8"/>
              <c:delete val="1"/>
              <c:extLst>
                <c:ext xmlns:c15="http://schemas.microsoft.com/office/drawing/2012/chart" uri="{CE6537A1-D6FC-4f65-9D91-7224C49458BB}"/>
              </c:extLst>
            </c:dLbl>
            <c:dLbl>
              <c:idx val="10"/>
              <c:delete val="1"/>
              <c:extLst>
                <c:ext xmlns:c15="http://schemas.microsoft.com/office/drawing/2012/chart" uri="{CE6537A1-D6FC-4f65-9D91-7224C49458BB}"/>
              </c:extLst>
            </c:dLbl>
            <c:dLbl>
              <c:idx val="11"/>
              <c:delete val="1"/>
              <c:extLst>
                <c:ext xmlns:c15="http://schemas.microsoft.com/office/drawing/2012/chart" uri="{CE6537A1-D6FC-4f65-9D91-7224C49458BB}"/>
              </c:extLst>
            </c:dLbl>
            <c:dLbl>
              <c:idx val="13"/>
              <c:delete val="1"/>
              <c:extLst>
                <c:ext xmlns:c15="http://schemas.microsoft.com/office/drawing/2012/chart" uri="{CE6537A1-D6FC-4f65-9D91-7224C49458BB}"/>
              </c:extLst>
            </c:dLbl>
            <c:dLbl>
              <c:idx val="15"/>
              <c:delete val="1"/>
              <c:extLst>
                <c:ext xmlns:c15="http://schemas.microsoft.com/office/drawing/2012/chart" uri="{CE6537A1-D6FC-4f65-9D91-7224C49458BB}"/>
              </c:extLst>
            </c:dLbl>
            <c:dLbl>
              <c:idx val="16"/>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Sheet3!$B$240:$B$258</c:f>
              <c:strCache>
                <c:ptCount val="19"/>
                <c:pt idx="0">
                  <c:v>Belgium</c:v>
                </c:pt>
                <c:pt idx="1">
                  <c:v>Canada</c:v>
                </c:pt>
                <c:pt idx="2">
                  <c:v>China</c:v>
                </c:pt>
                <c:pt idx="3">
                  <c:v>Cyprus</c:v>
                </c:pt>
                <c:pt idx="4">
                  <c:v>Denmark</c:v>
                </c:pt>
                <c:pt idx="5">
                  <c:v>Estonia</c:v>
                </c:pt>
                <c:pt idx="6">
                  <c:v>Finland</c:v>
                </c:pt>
                <c:pt idx="7">
                  <c:v>Ireland</c:v>
                </c:pt>
                <c:pt idx="8">
                  <c:v>Israel</c:v>
                </c:pt>
                <c:pt idx="9">
                  <c:v>Italy</c:v>
                </c:pt>
                <c:pt idx="10">
                  <c:v>Moldova</c:v>
                </c:pt>
                <c:pt idx="11">
                  <c:v>The Netherlands</c:v>
                </c:pt>
                <c:pt idx="12">
                  <c:v>Norway</c:v>
                </c:pt>
                <c:pt idx="13">
                  <c:v>Poland</c:v>
                </c:pt>
                <c:pt idx="14">
                  <c:v>Portugal</c:v>
                </c:pt>
                <c:pt idx="15">
                  <c:v>Romania</c:v>
                </c:pt>
                <c:pt idx="16">
                  <c:v>South Africa</c:v>
                </c:pt>
                <c:pt idx="17">
                  <c:v>Spain</c:v>
                </c:pt>
                <c:pt idx="18">
                  <c:v>Sweden</c:v>
                </c:pt>
              </c:strCache>
            </c:strRef>
          </c:cat>
          <c:val>
            <c:numRef>
              <c:f>Sheet3!$C$240:$C$258</c:f>
              <c:numCache>
                <c:formatCode>General</c:formatCode>
                <c:ptCount val="19"/>
                <c:pt idx="0">
                  <c:v>0</c:v>
                </c:pt>
                <c:pt idx="1">
                  <c:v>0</c:v>
                </c:pt>
                <c:pt idx="2">
                  <c:v>0</c:v>
                </c:pt>
                <c:pt idx="3">
                  <c:v>2</c:v>
                </c:pt>
                <c:pt idx="4">
                  <c:v>3</c:v>
                </c:pt>
                <c:pt idx="5">
                  <c:v>0</c:v>
                </c:pt>
                <c:pt idx="6">
                  <c:v>0</c:v>
                </c:pt>
                <c:pt idx="7">
                  <c:v>0</c:v>
                </c:pt>
                <c:pt idx="8">
                  <c:v>0</c:v>
                </c:pt>
                <c:pt idx="9">
                  <c:v>10</c:v>
                </c:pt>
                <c:pt idx="10">
                  <c:v>0</c:v>
                </c:pt>
                <c:pt idx="11">
                  <c:v>0</c:v>
                </c:pt>
                <c:pt idx="12">
                  <c:v>2</c:v>
                </c:pt>
                <c:pt idx="13">
                  <c:v>0</c:v>
                </c:pt>
                <c:pt idx="14">
                  <c:v>9</c:v>
                </c:pt>
                <c:pt idx="15">
                  <c:v>0</c:v>
                </c:pt>
                <c:pt idx="16">
                  <c:v>0</c:v>
                </c:pt>
                <c:pt idx="17">
                  <c:v>12</c:v>
                </c:pt>
                <c:pt idx="18">
                  <c:v>3</c:v>
                </c:pt>
              </c:numCache>
            </c:numRef>
          </c:val>
        </c:ser>
        <c:ser>
          <c:idx val="1"/>
          <c:order val="1"/>
          <c:tx>
            <c:strRef>
              <c:f>Sheet3!$D$239</c:f>
              <c:strCache>
                <c:ptCount val="1"/>
                <c:pt idx="0">
                  <c:v>Partners</c:v>
                </c:pt>
              </c:strCache>
            </c:strRef>
          </c:tx>
          <c:dLbls>
            <c:dLbl>
              <c:idx val="1"/>
              <c:delete val="1"/>
              <c:extLst>
                <c:ext xmlns:c15="http://schemas.microsoft.com/office/drawing/2012/chart" uri="{CE6537A1-D6FC-4f65-9D91-7224C49458BB}"/>
              </c:extLst>
            </c:dLbl>
            <c:dLbl>
              <c:idx val="13"/>
              <c:delete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strRef>
              <c:f>Sheet3!$B$240:$B$258</c:f>
              <c:strCache>
                <c:ptCount val="19"/>
                <c:pt idx="0">
                  <c:v>Belgium</c:v>
                </c:pt>
                <c:pt idx="1">
                  <c:v>Canada</c:v>
                </c:pt>
                <c:pt idx="2">
                  <c:v>China</c:v>
                </c:pt>
                <c:pt idx="3">
                  <c:v>Cyprus</c:v>
                </c:pt>
                <c:pt idx="4">
                  <c:v>Denmark</c:v>
                </c:pt>
                <c:pt idx="5">
                  <c:v>Estonia</c:v>
                </c:pt>
                <c:pt idx="6">
                  <c:v>Finland</c:v>
                </c:pt>
                <c:pt idx="7">
                  <c:v>Ireland</c:v>
                </c:pt>
                <c:pt idx="8">
                  <c:v>Israel</c:v>
                </c:pt>
                <c:pt idx="9">
                  <c:v>Italy</c:v>
                </c:pt>
                <c:pt idx="10">
                  <c:v>Moldova</c:v>
                </c:pt>
                <c:pt idx="11">
                  <c:v>The Netherlands</c:v>
                </c:pt>
                <c:pt idx="12">
                  <c:v>Norway</c:v>
                </c:pt>
                <c:pt idx="13">
                  <c:v>Poland</c:v>
                </c:pt>
                <c:pt idx="14">
                  <c:v>Portugal</c:v>
                </c:pt>
                <c:pt idx="15">
                  <c:v>Romania</c:v>
                </c:pt>
                <c:pt idx="16">
                  <c:v>South Africa</c:v>
                </c:pt>
                <c:pt idx="17">
                  <c:v>Spain</c:v>
                </c:pt>
                <c:pt idx="18">
                  <c:v>Sweden</c:v>
                </c:pt>
              </c:strCache>
            </c:strRef>
          </c:cat>
          <c:val>
            <c:numRef>
              <c:f>Sheet3!$D$240:$D$258</c:f>
              <c:numCache>
                <c:formatCode>General</c:formatCode>
                <c:ptCount val="19"/>
                <c:pt idx="0">
                  <c:v>1</c:v>
                </c:pt>
                <c:pt idx="1">
                  <c:v>0</c:v>
                </c:pt>
                <c:pt idx="2">
                  <c:v>1</c:v>
                </c:pt>
                <c:pt idx="3">
                  <c:v>5</c:v>
                </c:pt>
                <c:pt idx="4">
                  <c:v>14</c:v>
                </c:pt>
                <c:pt idx="5">
                  <c:v>2</c:v>
                </c:pt>
                <c:pt idx="6">
                  <c:v>1</c:v>
                </c:pt>
                <c:pt idx="7">
                  <c:v>9</c:v>
                </c:pt>
                <c:pt idx="8">
                  <c:v>4</c:v>
                </c:pt>
                <c:pt idx="9">
                  <c:v>36</c:v>
                </c:pt>
                <c:pt idx="10">
                  <c:v>1</c:v>
                </c:pt>
                <c:pt idx="11">
                  <c:v>9</c:v>
                </c:pt>
                <c:pt idx="12">
                  <c:v>10</c:v>
                </c:pt>
                <c:pt idx="13">
                  <c:v>0</c:v>
                </c:pt>
                <c:pt idx="14">
                  <c:v>29</c:v>
                </c:pt>
                <c:pt idx="15">
                  <c:v>8</c:v>
                </c:pt>
                <c:pt idx="16">
                  <c:v>3</c:v>
                </c:pt>
                <c:pt idx="17">
                  <c:v>47</c:v>
                </c:pt>
                <c:pt idx="18">
                  <c:v>13</c:v>
                </c:pt>
              </c:numCache>
            </c:numRef>
          </c:val>
        </c:ser>
        <c:axId val="104076032"/>
        <c:axId val="104096896"/>
      </c:barChart>
      <c:catAx>
        <c:axId val="104076032"/>
        <c:scaling>
          <c:orientation val="minMax"/>
        </c:scaling>
        <c:axPos val="b"/>
        <c:numFmt formatCode="General" sourceLinked="0"/>
        <c:majorTickMark val="none"/>
        <c:tickLblPos val="nextTo"/>
        <c:crossAx val="104096896"/>
        <c:crosses val="autoZero"/>
        <c:auto val="1"/>
        <c:lblAlgn val="ctr"/>
        <c:lblOffset val="100"/>
      </c:catAx>
      <c:valAx>
        <c:axId val="104096896"/>
        <c:scaling>
          <c:orientation val="minMax"/>
        </c:scaling>
        <c:axPos val="l"/>
        <c:majorGridlines/>
        <c:numFmt formatCode="General" sourceLinked="1"/>
        <c:majorTickMark val="none"/>
        <c:tickLblPos val="nextTo"/>
        <c:crossAx val="104076032"/>
        <c:crosses val="autoZero"/>
        <c:crossBetween val="between"/>
      </c:valAx>
    </c:plotArea>
    <c:legend>
      <c:legendPos val="r"/>
    </c:legend>
    <c:plotVisOnly val="1"/>
    <c:dispBlanksAs val="gap"/>
  </c:chart>
  <c:spPr>
    <a:ln>
      <a:noFill/>
    </a:ln>
  </c:spPr>
  <c:txPr>
    <a:bodyPr/>
    <a:lstStyle/>
    <a:p>
      <a:pPr>
        <a:defRPr>
          <a:latin typeface="Gill Sans MT" panose="020B0502020104020203" pitchFamily="34" charset="0"/>
        </a:defRPr>
      </a:pPr>
      <a:endParaRPr lang="it-IT"/>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sz="1200"/>
            </a:pPr>
            <a:r>
              <a:rPr lang="pt-PT" sz="1200"/>
              <a:t>Number of Coordinators Per Organisation Type</a:t>
            </a:r>
          </a:p>
        </c:rich>
      </c:tx>
    </c:title>
    <c:plotArea>
      <c:layout/>
      <c:pieChart>
        <c:varyColors val="1"/>
        <c:ser>
          <c:idx val="0"/>
          <c:order val="0"/>
          <c:dPt>
            <c:idx val="1"/>
            <c:spPr>
              <a:solidFill>
                <a:srgbClr val="800000"/>
              </a:solidFill>
              <a:effectLst>
                <a:outerShdw blurRad="50800" dist="50800" dir="5400000" algn="ctr" rotWithShape="0">
                  <a:srgbClr val="800000"/>
                </a:outerShdw>
              </a:effectLst>
            </c:spPr>
          </c:dPt>
          <c:dLbls>
            <c:dLbl>
              <c:idx val="0"/>
              <c:tx>
                <c:rich>
                  <a:bodyPr/>
                  <a:lstStyle/>
                  <a:p>
                    <a:pPr>
                      <a:defRPr sz="1200">
                        <a:solidFill>
                          <a:schemeClr val="bg1"/>
                        </a:solidFill>
                      </a:defRPr>
                    </a:pPr>
                    <a:r>
                      <a:rPr lang="en-US" sz="1200">
                        <a:solidFill>
                          <a:schemeClr val="bg1"/>
                        </a:solidFill>
                      </a:rPr>
                      <a:t>93%</a:t>
                    </a:r>
                  </a:p>
                  <a:p>
                    <a:pPr>
                      <a:defRPr sz="1200">
                        <a:solidFill>
                          <a:schemeClr val="bg1"/>
                        </a:solidFill>
                      </a:defRPr>
                    </a:pPr>
                    <a:r>
                      <a:rPr lang="en-US" sz="1200">
                        <a:solidFill>
                          <a:schemeClr val="bg1"/>
                        </a:solidFill>
                      </a:rPr>
                      <a:t>(110)</a:t>
                    </a:r>
                    <a:endParaRPr lang="en-US">
                      <a:solidFill>
                        <a:schemeClr val="bg1"/>
                      </a:solidFill>
                    </a:endParaRPr>
                  </a:p>
                </c:rich>
              </c:tx>
              <c:spPr/>
              <c:showPercent val="1"/>
              <c:extLst>
                <c:ext xmlns:c15="http://schemas.microsoft.com/office/drawing/2012/chart" uri="{CE6537A1-D6FC-4f65-9D91-7224C49458BB}"/>
              </c:extLst>
            </c:dLbl>
            <c:dLbl>
              <c:idx val="1"/>
              <c:layout>
                <c:manualLayout>
                  <c:x val="-0.15095262517472674"/>
                  <c:y val="6.4175343011033573E-2"/>
                </c:manualLayout>
              </c:layout>
              <c:tx>
                <c:rich>
                  <a:bodyPr/>
                  <a:lstStyle/>
                  <a:p>
                    <a:r>
                      <a:rPr lang="en-US" sz="1200" dirty="0"/>
                      <a:t>7%</a:t>
                    </a:r>
                  </a:p>
                  <a:p>
                    <a:r>
                      <a:rPr lang="en-US" sz="1200" dirty="0"/>
                      <a:t>(</a:t>
                    </a:r>
                    <a:r>
                      <a:rPr lang="en-US" sz="1200" dirty="0" smtClean="0"/>
                      <a:t>8)</a:t>
                    </a:r>
                    <a:endParaRPr lang="en-US" sz="1600" dirty="0"/>
                  </a:p>
                </c:rich>
              </c:tx>
              <c:showPercent val="1"/>
              <c:extLst>
                <c:ext xmlns:c15="http://schemas.microsoft.com/office/drawing/2012/chart" uri="{CE6537A1-D6FC-4f65-9D91-7224C49458BB}"/>
              </c:extLst>
            </c:dLbl>
            <c:spPr>
              <a:noFill/>
              <a:ln>
                <a:noFill/>
              </a:ln>
              <a:effectLst/>
            </c:spPr>
            <c:txPr>
              <a:bodyPr/>
              <a:lstStyle/>
              <a:p>
                <a:pPr>
                  <a:defRPr sz="1200"/>
                </a:pPr>
                <a:endParaRPr lang="it-IT"/>
              </a:p>
            </c:txPr>
            <c:showPercent val="1"/>
            <c:showLeaderLines val="1"/>
            <c:extLst>
              <c:ext xmlns:c15="http://schemas.microsoft.com/office/drawing/2012/chart" uri="{CE6537A1-D6FC-4f65-9D91-7224C49458BB}"/>
            </c:extLst>
          </c:dLbls>
          <c:cat>
            <c:strRef>
              <c:f>[WW2014_Statistics.xlsx]Sheet1!$B$57:$B$58</c:f>
              <c:strCache>
                <c:ptCount val="2"/>
                <c:pt idx="0">
                  <c:v>non-profit organisation</c:v>
                </c:pt>
                <c:pt idx="1">
                  <c:v>private enterprise</c:v>
                </c:pt>
              </c:strCache>
            </c:strRef>
          </c:cat>
          <c:val>
            <c:numRef>
              <c:f>[WW2014_Statistics.xlsx]Sheet1!$C$57:$C$58</c:f>
              <c:numCache>
                <c:formatCode>General</c:formatCode>
                <c:ptCount val="2"/>
                <c:pt idx="0">
                  <c:v>110</c:v>
                </c:pt>
                <c:pt idx="1">
                  <c:v>8</c:v>
                </c:pt>
              </c:numCache>
            </c:numRef>
          </c:val>
        </c:ser>
        <c:dLbls>
          <c:showPercent val="1"/>
        </c:dLbls>
        <c:firstSliceAng val="0"/>
      </c:pieChart>
    </c:plotArea>
    <c:legend>
      <c:legendPos val="r"/>
      <c:layout>
        <c:manualLayout>
          <c:xMode val="edge"/>
          <c:yMode val="edge"/>
          <c:x val="0.60523767862350608"/>
          <c:y val="0.33906830366583379"/>
          <c:w val="0.36411098038032635"/>
          <c:h val="0.55459641004590066"/>
        </c:manualLayout>
      </c:layout>
      <c:txPr>
        <a:bodyPr/>
        <a:lstStyle/>
        <a:p>
          <a:pPr>
            <a:defRPr sz="1100"/>
          </a:pPr>
          <a:endParaRPr lang="it-IT"/>
        </a:p>
      </c:txPr>
    </c:legend>
    <c:plotVisOnly val="1"/>
    <c:dispBlanksAs val="zero"/>
  </c:chart>
  <c:spPr>
    <a:ln>
      <a:noFill/>
    </a:ln>
  </c:spPr>
  <c:txPr>
    <a:bodyPr/>
    <a:lstStyle/>
    <a:p>
      <a:pPr>
        <a:defRPr>
          <a:latin typeface="Gill Sans MT" panose="020B0502020104020203" pitchFamily="34" charset="0"/>
        </a:defRPr>
      </a:pPr>
      <a:endParaRPr lang="it-IT"/>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it-IT"/>
  <c:chart>
    <c:title>
      <c:tx>
        <c:rich>
          <a:bodyPr/>
          <a:lstStyle/>
          <a:p>
            <a:pPr>
              <a:defRPr sz="1200"/>
            </a:pPr>
            <a:r>
              <a:rPr lang="pt-PT" sz="1200"/>
              <a:t>Number of Partners Per Organisation Type</a:t>
            </a:r>
          </a:p>
        </c:rich>
      </c:tx>
    </c:title>
    <c:plotArea>
      <c:layout/>
      <c:pieChart>
        <c:varyColors val="1"/>
        <c:ser>
          <c:idx val="0"/>
          <c:order val="0"/>
          <c:dPt>
            <c:idx val="1"/>
            <c:spPr>
              <a:solidFill>
                <a:srgbClr val="800000"/>
              </a:solidFill>
            </c:spPr>
          </c:dPt>
          <c:dLbls>
            <c:dLbl>
              <c:idx val="0"/>
              <c:layout>
                <c:manualLayout>
                  <c:x val="-0.12576630829725671"/>
                  <c:y val="-0.18724126490471291"/>
                </c:manualLayout>
              </c:layout>
              <c:tx>
                <c:rich>
                  <a:bodyPr/>
                  <a:lstStyle/>
                  <a:p>
                    <a:r>
                      <a:rPr lang="en-US" sz="1200" b="0" dirty="0">
                        <a:solidFill>
                          <a:schemeClr val="bg1"/>
                        </a:solidFill>
                      </a:rPr>
                      <a:t>80%</a:t>
                    </a:r>
                  </a:p>
                  <a:p>
                    <a:r>
                      <a:rPr lang="en-US" sz="1200" b="0" dirty="0">
                        <a:solidFill>
                          <a:schemeClr val="bg1"/>
                        </a:solidFill>
                      </a:rPr>
                      <a:t>(</a:t>
                    </a:r>
                    <a:r>
                      <a:rPr lang="en-US" sz="1200" b="0" dirty="0" smtClean="0">
                        <a:solidFill>
                          <a:schemeClr val="bg1"/>
                        </a:solidFill>
                      </a:rPr>
                      <a:t>423)</a:t>
                    </a:r>
                    <a:endParaRPr lang="en-US" dirty="0"/>
                  </a:p>
                </c:rich>
              </c:tx>
              <c:showPercent val="1"/>
              <c:extLst>
                <c:ext xmlns:c15="http://schemas.microsoft.com/office/drawing/2012/chart" uri="{CE6537A1-D6FC-4f65-9D91-7224C49458BB}"/>
              </c:extLst>
            </c:dLbl>
            <c:dLbl>
              <c:idx val="1"/>
              <c:layout>
                <c:manualLayout>
                  <c:x val="0.12461297560744615"/>
                  <c:y val="0.18824982526336204"/>
                </c:manualLayout>
              </c:layout>
              <c:tx>
                <c:rich>
                  <a:bodyPr/>
                  <a:lstStyle/>
                  <a:p>
                    <a:r>
                      <a:rPr lang="en-US" sz="1200" b="0" dirty="0">
                        <a:solidFill>
                          <a:schemeClr val="bg1"/>
                        </a:solidFill>
                      </a:rPr>
                      <a:t>20%</a:t>
                    </a:r>
                  </a:p>
                  <a:p>
                    <a:r>
                      <a:rPr lang="en-US" sz="1200" b="0" dirty="0">
                        <a:solidFill>
                          <a:schemeClr val="bg1"/>
                        </a:solidFill>
                      </a:rPr>
                      <a:t>(</a:t>
                    </a:r>
                    <a:r>
                      <a:rPr lang="en-US" sz="1200" b="0" dirty="0" smtClean="0">
                        <a:solidFill>
                          <a:schemeClr val="bg1"/>
                        </a:solidFill>
                      </a:rPr>
                      <a:t>108)</a:t>
                    </a:r>
                    <a:endParaRPr lang="en-US" dirty="0"/>
                  </a:p>
                </c:rich>
              </c:tx>
              <c:showPercent val="1"/>
              <c:extLst>
                <c:ext xmlns:c15="http://schemas.microsoft.com/office/drawing/2012/chart" uri="{CE6537A1-D6FC-4f65-9D91-7224C49458BB}"/>
              </c:extLst>
            </c:dLbl>
            <c:spPr>
              <a:noFill/>
              <a:ln>
                <a:noFill/>
              </a:ln>
              <a:effectLst/>
            </c:spPr>
            <c:txPr>
              <a:bodyPr/>
              <a:lstStyle/>
              <a:p>
                <a:pPr>
                  <a:defRPr sz="1200" b="0"/>
                </a:pPr>
                <a:endParaRPr lang="it-IT"/>
              </a:p>
            </c:txPr>
            <c:showPercent val="1"/>
            <c:showLeaderLines val="1"/>
            <c:extLst>
              <c:ext xmlns:c15="http://schemas.microsoft.com/office/drawing/2012/chart" uri="{CE6537A1-D6FC-4f65-9D91-7224C49458BB}"/>
            </c:extLst>
          </c:dLbls>
          <c:cat>
            <c:strRef>
              <c:f>[WW2014_Statistics.xlsx]Sheet1!$B$61:$B$62</c:f>
              <c:strCache>
                <c:ptCount val="2"/>
                <c:pt idx="0">
                  <c:v>non-profit organisation</c:v>
                </c:pt>
                <c:pt idx="1">
                  <c:v>private enterprise</c:v>
                </c:pt>
              </c:strCache>
            </c:strRef>
          </c:cat>
          <c:val>
            <c:numRef>
              <c:f>[WW2014_Statistics.xlsx]Sheet1!$C$61:$C$62</c:f>
              <c:numCache>
                <c:formatCode>General</c:formatCode>
                <c:ptCount val="2"/>
                <c:pt idx="0">
                  <c:v>423</c:v>
                </c:pt>
                <c:pt idx="1">
                  <c:v>108</c:v>
                </c:pt>
              </c:numCache>
            </c:numRef>
          </c:val>
        </c:ser>
        <c:dLbls>
          <c:showPercent val="1"/>
        </c:dLbls>
        <c:firstSliceAng val="0"/>
      </c:pieChart>
    </c:plotArea>
    <c:legend>
      <c:legendPos val="r"/>
      <c:txPr>
        <a:bodyPr/>
        <a:lstStyle/>
        <a:p>
          <a:pPr>
            <a:defRPr sz="1100"/>
          </a:pPr>
          <a:endParaRPr lang="it-IT"/>
        </a:p>
      </c:txPr>
    </c:legend>
    <c:plotVisOnly val="1"/>
    <c:dispBlanksAs val="zero"/>
  </c:chart>
  <c:spPr>
    <a:ln>
      <a:noFill/>
    </a:ln>
  </c:spPr>
  <c:txPr>
    <a:bodyPr/>
    <a:lstStyle/>
    <a:p>
      <a:pPr>
        <a:defRPr>
          <a:latin typeface="Gill Sans MT" panose="020B0502020104020203" pitchFamily="34" charset="0"/>
        </a:defRPr>
      </a:pPr>
      <a:endParaRPr lang="it-IT"/>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sz="1200"/>
            </a:pPr>
            <a:r>
              <a:rPr lang="pt-PT" sz="1200"/>
              <a:t>Financing Plan: Overall Numbers</a:t>
            </a:r>
          </a:p>
        </c:rich>
      </c:tx>
    </c:title>
    <c:plotArea>
      <c:layout>
        <c:manualLayout>
          <c:layoutTarget val="inner"/>
          <c:xMode val="edge"/>
          <c:yMode val="edge"/>
          <c:x val="2.7160493827160494E-2"/>
          <c:y val="0.20575999691215074"/>
          <c:w val="0.92345679012345649"/>
          <c:h val="0.62241817199320659"/>
        </c:manualLayout>
      </c:layout>
      <c:barChart>
        <c:barDir val="col"/>
        <c:grouping val="clustered"/>
        <c:ser>
          <c:idx val="0"/>
          <c:order val="0"/>
          <c:dLbls>
            <c:spPr>
              <a:noFill/>
              <a:ln>
                <a:noFill/>
              </a:ln>
              <a:effectLst/>
            </c:spPr>
            <c:txPr>
              <a:bodyPr/>
              <a:lstStyle/>
              <a:p>
                <a:pPr>
                  <a:defRPr b="0"/>
                </a:pPr>
                <a:endParaRPr lang="it-IT"/>
              </a:p>
            </c:txPr>
            <c:showVal val="1"/>
            <c:extLst>
              <c:ext xmlns:c15="http://schemas.microsoft.com/office/drawing/2012/chart" uri="{CE6537A1-D6FC-4f65-9D91-7224C49458BB}">
                <c15:showLeaderLines val="0"/>
              </c:ext>
            </c:extLst>
          </c:dLbls>
          <c:cat>
            <c:strRef>
              <c:f>'ww2014-call-submitted-projects-'!$K$655:$K$657</c:f>
              <c:strCache>
                <c:ptCount val="3"/>
                <c:pt idx="0">
                  <c:v>Requested Funding</c:v>
                </c:pt>
                <c:pt idx="1">
                  <c:v>Own Contribution</c:v>
                </c:pt>
                <c:pt idx="2">
                  <c:v>Total Costs</c:v>
                </c:pt>
              </c:strCache>
            </c:strRef>
          </c:cat>
          <c:val>
            <c:numRef>
              <c:f>'ww2014-call-submitted-projects-'!$L$655:$L$657</c:f>
              <c:numCache>
                <c:formatCode>#,##0\ "€"</c:formatCode>
                <c:ptCount val="3"/>
                <c:pt idx="0">
                  <c:v>103621672</c:v>
                </c:pt>
                <c:pt idx="1">
                  <c:v>32006269</c:v>
                </c:pt>
                <c:pt idx="2">
                  <c:v>135627941</c:v>
                </c:pt>
              </c:numCache>
            </c:numRef>
          </c:val>
        </c:ser>
        <c:axId val="96910336"/>
        <c:axId val="96916224"/>
      </c:barChart>
      <c:catAx>
        <c:axId val="96910336"/>
        <c:scaling>
          <c:orientation val="minMax"/>
        </c:scaling>
        <c:axPos val="b"/>
        <c:numFmt formatCode="General" sourceLinked="0"/>
        <c:majorTickMark val="none"/>
        <c:tickLblPos val="nextTo"/>
        <c:crossAx val="96916224"/>
        <c:crosses val="autoZero"/>
        <c:auto val="1"/>
        <c:lblAlgn val="ctr"/>
        <c:lblOffset val="100"/>
      </c:catAx>
      <c:valAx>
        <c:axId val="96916224"/>
        <c:scaling>
          <c:orientation val="minMax"/>
        </c:scaling>
        <c:delete val="1"/>
        <c:axPos val="l"/>
        <c:numFmt formatCode="#,##0\ &quot;€&quot;" sourceLinked="1"/>
        <c:majorTickMark val="none"/>
        <c:tickLblPos val="none"/>
        <c:crossAx val="96910336"/>
        <c:crosses val="autoZero"/>
        <c:crossBetween val="between"/>
      </c:valAx>
      <c:spPr>
        <a:noFill/>
        <a:ln w="25400">
          <a:noFill/>
        </a:ln>
      </c:spPr>
    </c:plotArea>
    <c:plotVisOnly val="1"/>
    <c:dispBlanksAs val="gap"/>
  </c:chart>
  <c:spPr>
    <a:ln>
      <a:noFill/>
    </a:ln>
  </c:spPr>
  <c:txPr>
    <a:bodyPr/>
    <a:lstStyle/>
    <a:p>
      <a:pPr>
        <a:defRPr b="1" i="0" baseline="0">
          <a:latin typeface="Gill Sans MT" panose="020B0502020104020203" pitchFamily="34" charset="0"/>
        </a:defRPr>
      </a:pPr>
      <a:endParaRPr lang="it-IT"/>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it-IT"/>
  <c:chart>
    <c:title>
      <c:tx>
        <c:rich>
          <a:bodyPr/>
          <a:lstStyle/>
          <a:p>
            <a:pPr>
              <a:defRPr sz="1200"/>
            </a:pPr>
            <a:r>
              <a:rPr lang="pt-PT" sz="1200"/>
              <a:t>Requested Funding per Organisation Type</a:t>
            </a:r>
          </a:p>
        </c:rich>
      </c:tx>
    </c:title>
    <c:plotArea>
      <c:layout>
        <c:manualLayout>
          <c:layoutTarget val="inner"/>
          <c:xMode val="edge"/>
          <c:yMode val="edge"/>
          <c:x val="7.4625349250698497E-2"/>
          <c:y val="0.24452252208621661"/>
          <c:w val="0.86623655913978492"/>
          <c:h val="0.56379313050984958"/>
        </c:manualLayout>
      </c:layout>
      <c:barChart>
        <c:barDir val="col"/>
        <c:grouping val="clustered"/>
        <c:ser>
          <c:idx val="0"/>
          <c:order val="0"/>
          <c:dLbls>
            <c:spPr>
              <a:noFill/>
              <a:ln>
                <a:noFill/>
              </a:ln>
              <a:effectLst/>
            </c:spPr>
            <c:showVal val="1"/>
            <c:extLst>
              <c:ext xmlns:c15="http://schemas.microsoft.com/office/drawing/2012/chart" uri="{CE6537A1-D6FC-4f65-9D91-7224C49458BB}">
                <c15:showLeaderLines val="0"/>
              </c:ext>
            </c:extLst>
          </c:dLbls>
          <c:cat>
            <c:strRef>
              <c:f>'ww2014-call-submitted-projects-'!$K$677:$K$678</c:f>
              <c:strCache>
                <c:ptCount val="2"/>
                <c:pt idx="0">
                  <c:v>Non-profit organisations</c:v>
                </c:pt>
                <c:pt idx="1">
                  <c:v>Private entreprises</c:v>
                </c:pt>
              </c:strCache>
            </c:strRef>
          </c:cat>
          <c:val>
            <c:numRef>
              <c:f>'ww2014-call-submitted-projects-'!$L$677:$L$678</c:f>
              <c:numCache>
                <c:formatCode>#,##0\ "€"</c:formatCode>
                <c:ptCount val="2"/>
                <c:pt idx="0">
                  <c:v>90570003</c:v>
                </c:pt>
                <c:pt idx="1">
                  <c:v>13051669</c:v>
                </c:pt>
              </c:numCache>
            </c:numRef>
          </c:val>
        </c:ser>
        <c:axId val="96936320"/>
        <c:axId val="96937856"/>
      </c:barChart>
      <c:catAx>
        <c:axId val="96936320"/>
        <c:scaling>
          <c:orientation val="minMax"/>
        </c:scaling>
        <c:axPos val="b"/>
        <c:numFmt formatCode="General" sourceLinked="0"/>
        <c:majorTickMark val="none"/>
        <c:tickLblPos val="nextTo"/>
        <c:txPr>
          <a:bodyPr/>
          <a:lstStyle/>
          <a:p>
            <a:pPr>
              <a:defRPr b="1"/>
            </a:pPr>
            <a:endParaRPr lang="it-IT"/>
          </a:p>
        </c:txPr>
        <c:crossAx val="96937856"/>
        <c:crosses val="autoZero"/>
        <c:auto val="1"/>
        <c:lblAlgn val="ctr"/>
        <c:lblOffset val="100"/>
      </c:catAx>
      <c:valAx>
        <c:axId val="96937856"/>
        <c:scaling>
          <c:orientation val="minMax"/>
        </c:scaling>
        <c:delete val="1"/>
        <c:axPos val="l"/>
        <c:numFmt formatCode="#,##0\ &quot;€&quot;" sourceLinked="1"/>
        <c:majorTickMark val="none"/>
        <c:tickLblPos val="none"/>
        <c:crossAx val="96936320"/>
        <c:crosses val="autoZero"/>
        <c:crossBetween val="between"/>
      </c:valAx>
      <c:spPr>
        <a:noFill/>
        <a:ln w="25400">
          <a:noFill/>
        </a:ln>
      </c:spPr>
    </c:plotArea>
    <c:plotVisOnly val="1"/>
    <c:dispBlanksAs val="gap"/>
  </c:chart>
  <c:spPr>
    <a:ln>
      <a:noFill/>
    </a:ln>
  </c:spPr>
  <c:txPr>
    <a:bodyPr/>
    <a:lstStyle/>
    <a:p>
      <a:pPr>
        <a:defRPr>
          <a:latin typeface="Gill Sans MT" panose="020B0502020104020203" pitchFamily="34" charset="0"/>
        </a:defRPr>
      </a:pPr>
      <a:endParaRPr lang="it-IT"/>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it-IT"/>
  <c:chart>
    <c:title>
      <c:tx>
        <c:rich>
          <a:bodyPr/>
          <a:lstStyle/>
          <a:p>
            <a:pPr>
              <a:defRPr sz="1200"/>
            </a:pPr>
            <a:r>
              <a:rPr lang="en-US" sz="1200"/>
              <a:t>% of Submitted Pre-Proposals per Call Topic</a:t>
            </a:r>
            <a:endParaRPr lang="pt-PT" sz="1200"/>
          </a:p>
        </c:rich>
      </c:tx>
      <c:layout>
        <c:manualLayout>
          <c:xMode val="edge"/>
          <c:yMode val="edge"/>
          <c:x val="0.13096055701370662"/>
          <c:y val="0"/>
        </c:manualLayout>
      </c:layout>
    </c:title>
    <c:plotArea>
      <c:layout/>
      <c:pieChart>
        <c:varyColors val="1"/>
        <c:ser>
          <c:idx val="0"/>
          <c:order val="0"/>
          <c:tx>
            <c:strRef>
              <c:f>Sheet1!$C$149</c:f>
              <c:strCache>
                <c:ptCount val="1"/>
                <c:pt idx="0">
                  <c:v>Number of pre-proposals</c:v>
                </c:pt>
              </c:strCache>
            </c:strRef>
          </c:tx>
          <c:dLbls>
            <c:dLbl>
              <c:idx val="0"/>
              <c:tx>
                <c:rich>
                  <a:bodyPr/>
                  <a:lstStyle/>
                  <a:p>
                    <a:r>
                      <a:rPr lang="en-US" sz="1200" b="1">
                        <a:solidFill>
                          <a:schemeClr val="bg1"/>
                        </a:solidFill>
                      </a:rPr>
                      <a:t>49%</a:t>
                    </a:r>
                    <a:endParaRPr lang="en-US"/>
                  </a:p>
                </c:rich>
              </c:tx>
              <c:showVal val="1"/>
              <c:extLst>
                <c:ext xmlns:c15="http://schemas.microsoft.com/office/drawing/2012/chart" uri="{CE6537A1-D6FC-4f65-9D91-7224C49458BB}"/>
              </c:extLst>
            </c:dLbl>
            <c:dLbl>
              <c:idx val="1"/>
              <c:tx>
                <c:rich>
                  <a:bodyPr/>
                  <a:lstStyle/>
                  <a:p>
                    <a:r>
                      <a:rPr lang="en-US" sz="1200" b="1">
                        <a:solidFill>
                          <a:schemeClr val="bg1"/>
                        </a:solidFill>
                      </a:rPr>
                      <a:t>26%</a:t>
                    </a:r>
                    <a:endParaRPr lang="en-US"/>
                  </a:p>
                </c:rich>
              </c:tx>
              <c:showVal val="1"/>
              <c:extLst>
                <c:ext xmlns:c15="http://schemas.microsoft.com/office/drawing/2012/chart" uri="{CE6537A1-D6FC-4f65-9D91-7224C49458BB}"/>
              </c:extLst>
            </c:dLbl>
            <c:dLbl>
              <c:idx val="2"/>
              <c:tx>
                <c:rich>
                  <a:bodyPr/>
                  <a:lstStyle/>
                  <a:p>
                    <a:r>
                      <a:rPr lang="en-US" sz="1200" b="1">
                        <a:solidFill>
                          <a:schemeClr val="bg1"/>
                        </a:solidFill>
                      </a:rPr>
                      <a:t>19%</a:t>
                    </a:r>
                    <a:endParaRPr lang="en-US"/>
                  </a:p>
                </c:rich>
              </c:tx>
              <c:showVal val="1"/>
              <c:extLst>
                <c:ext xmlns:c15="http://schemas.microsoft.com/office/drawing/2012/chart" uri="{CE6537A1-D6FC-4f65-9D91-7224C49458BB}"/>
              </c:extLst>
            </c:dLbl>
            <c:dLbl>
              <c:idx val="3"/>
              <c:tx>
                <c:rich>
                  <a:bodyPr/>
                  <a:lstStyle/>
                  <a:p>
                    <a:r>
                      <a:rPr lang="en-US" sz="1200" b="1">
                        <a:solidFill>
                          <a:schemeClr val="bg1"/>
                        </a:solidFill>
                      </a:rPr>
                      <a:t>6%</a:t>
                    </a:r>
                    <a:endParaRPr lang="en-US"/>
                  </a:p>
                </c:rich>
              </c:tx>
              <c:showVal val="1"/>
              <c:extLst>
                <c:ext xmlns:c15="http://schemas.microsoft.com/office/drawing/2012/chart" uri="{CE6537A1-D6FC-4f65-9D91-7224C49458BB}"/>
              </c:extLst>
            </c:dLbl>
            <c:spPr>
              <a:noFill/>
              <a:ln>
                <a:noFill/>
              </a:ln>
              <a:effectLst/>
            </c:spPr>
            <c:txPr>
              <a:bodyPr/>
              <a:lstStyle/>
              <a:p>
                <a:pPr>
                  <a:defRPr sz="1200" b="1">
                    <a:solidFill>
                      <a:schemeClr val="bg1"/>
                    </a:solidFill>
                  </a:defRPr>
                </a:pPr>
                <a:endParaRPr lang="it-IT"/>
              </a:p>
            </c:txPr>
            <c:showVal val="1"/>
            <c:showLeaderLines val="1"/>
            <c:extLst>
              <c:ext xmlns:c15="http://schemas.microsoft.com/office/drawing/2012/chart" uri="{CE6537A1-D6FC-4f65-9D91-7224C49458BB}"/>
            </c:extLst>
          </c:dLbls>
          <c:cat>
            <c:strRef>
              <c:f>Sheet1!$B$150:$B$153</c:f>
              <c:strCache>
                <c:ptCount val="4"/>
                <c:pt idx="0">
                  <c:v>T1</c:v>
                </c:pt>
                <c:pt idx="1">
                  <c:v>T2</c:v>
                </c:pt>
                <c:pt idx="2">
                  <c:v>T3</c:v>
                </c:pt>
                <c:pt idx="3">
                  <c:v>Multiple topics</c:v>
                </c:pt>
              </c:strCache>
            </c:strRef>
          </c:cat>
          <c:val>
            <c:numRef>
              <c:f>Sheet1!$C$150:$C$153</c:f>
              <c:numCache>
                <c:formatCode>0</c:formatCode>
                <c:ptCount val="4"/>
                <c:pt idx="0">
                  <c:v>49.152542372881385</c:v>
                </c:pt>
                <c:pt idx="1">
                  <c:v>26.271186440677962</c:v>
                </c:pt>
                <c:pt idx="2">
                  <c:v>18.644067796610194</c:v>
                </c:pt>
                <c:pt idx="3">
                  <c:v>5.9322033898305131</c:v>
                </c:pt>
              </c:numCache>
            </c:numRef>
          </c:val>
        </c:ser>
        <c:firstSliceAng val="0"/>
      </c:pieChart>
    </c:plotArea>
    <c:plotVisOnly val="1"/>
    <c:dispBlanksAs val="zero"/>
  </c:chart>
  <c:spPr>
    <a:ln>
      <a:noFill/>
    </a:ln>
  </c:spPr>
  <c:txPr>
    <a:bodyPr/>
    <a:lstStyle/>
    <a:p>
      <a:pPr>
        <a:defRPr>
          <a:latin typeface="Gill Sans MT" panose="020B0502020104020203" pitchFamily="34" charset="0"/>
        </a:defRPr>
      </a:pPr>
      <a:endParaRPr lang="it-IT"/>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it-IT"/>
  <c:chart>
    <c:title>
      <c:tx>
        <c:rich>
          <a:bodyPr/>
          <a:lstStyle/>
          <a:p>
            <a:pPr>
              <a:defRPr sz="1200"/>
            </a:pPr>
            <a:r>
              <a:rPr lang="en-US" sz="1200"/>
              <a:t>% of Proposals invited for Step 2 per Call Topic</a:t>
            </a:r>
          </a:p>
        </c:rich>
      </c:tx>
      <c:layout>
        <c:manualLayout>
          <c:xMode val="edge"/>
          <c:yMode val="edge"/>
          <c:x val="0.13297662595325177"/>
          <c:y val="6.9871812098574093E-5"/>
        </c:manualLayout>
      </c:layout>
    </c:title>
    <c:plotArea>
      <c:layout/>
      <c:pieChart>
        <c:varyColors val="1"/>
        <c:ser>
          <c:idx val="0"/>
          <c:order val="0"/>
          <c:tx>
            <c:strRef>
              <c:f>Sheet1!$D$6</c:f>
              <c:strCache>
                <c:ptCount val="1"/>
                <c:pt idx="0">
                  <c:v>%</c:v>
                </c:pt>
              </c:strCache>
            </c:strRef>
          </c:tx>
          <c:dLbls>
            <c:dLbl>
              <c:idx val="0"/>
              <c:tx>
                <c:rich>
                  <a:bodyPr/>
                  <a:lstStyle/>
                  <a:p>
                    <a:r>
                      <a:rPr lang="en-US" sz="1200" b="1">
                        <a:solidFill>
                          <a:schemeClr val="bg1"/>
                        </a:solidFill>
                      </a:rPr>
                      <a:t>49%</a:t>
                    </a:r>
                    <a:endParaRPr lang="en-US"/>
                  </a:p>
                </c:rich>
              </c:tx>
              <c:showVal val="1"/>
              <c:extLst>
                <c:ext xmlns:c15="http://schemas.microsoft.com/office/drawing/2012/chart" uri="{CE6537A1-D6FC-4f65-9D91-7224C49458BB}"/>
              </c:extLst>
            </c:dLbl>
            <c:dLbl>
              <c:idx val="1"/>
              <c:tx>
                <c:rich>
                  <a:bodyPr/>
                  <a:lstStyle/>
                  <a:p>
                    <a:r>
                      <a:rPr lang="en-US" sz="1200" b="1">
                        <a:solidFill>
                          <a:schemeClr val="bg1"/>
                        </a:solidFill>
                      </a:rPr>
                      <a:t>19%</a:t>
                    </a:r>
                    <a:endParaRPr lang="en-US"/>
                  </a:p>
                </c:rich>
              </c:tx>
              <c:showVal val="1"/>
              <c:extLst>
                <c:ext xmlns:c15="http://schemas.microsoft.com/office/drawing/2012/chart" uri="{CE6537A1-D6FC-4f65-9D91-7224C49458BB}"/>
              </c:extLst>
            </c:dLbl>
            <c:dLbl>
              <c:idx val="2"/>
              <c:tx>
                <c:rich>
                  <a:bodyPr/>
                  <a:lstStyle/>
                  <a:p>
                    <a:r>
                      <a:rPr lang="en-US" sz="1200" b="1">
                        <a:solidFill>
                          <a:schemeClr val="bg1"/>
                        </a:solidFill>
                      </a:rPr>
                      <a:t>22%</a:t>
                    </a:r>
                    <a:endParaRPr lang="en-US"/>
                  </a:p>
                </c:rich>
              </c:tx>
              <c:showVal val="1"/>
              <c:extLst>
                <c:ext xmlns:c15="http://schemas.microsoft.com/office/drawing/2012/chart" uri="{CE6537A1-D6FC-4f65-9D91-7224C49458BB}"/>
              </c:extLst>
            </c:dLbl>
            <c:dLbl>
              <c:idx val="3"/>
              <c:tx>
                <c:rich>
                  <a:bodyPr/>
                  <a:lstStyle/>
                  <a:p>
                    <a:r>
                      <a:rPr lang="en-US" sz="1200" b="1">
                        <a:solidFill>
                          <a:schemeClr val="bg1"/>
                        </a:solidFill>
                      </a:rPr>
                      <a:t>10%</a:t>
                    </a:r>
                    <a:endParaRPr lang="en-US"/>
                  </a:p>
                </c:rich>
              </c:tx>
              <c:showVal val="1"/>
              <c:extLst>
                <c:ext xmlns:c15="http://schemas.microsoft.com/office/drawing/2012/chart" uri="{CE6537A1-D6FC-4f65-9D91-7224C49458BB}"/>
              </c:extLst>
            </c:dLbl>
            <c:spPr>
              <a:noFill/>
              <a:ln>
                <a:noFill/>
              </a:ln>
              <a:effectLst/>
            </c:spPr>
            <c:txPr>
              <a:bodyPr/>
              <a:lstStyle/>
              <a:p>
                <a:pPr>
                  <a:defRPr sz="1200" b="1">
                    <a:solidFill>
                      <a:schemeClr val="bg1"/>
                    </a:solidFill>
                  </a:defRPr>
                </a:pPr>
                <a:endParaRPr lang="it-IT"/>
              </a:p>
            </c:txPr>
            <c:showVal val="1"/>
            <c:showLeaderLines val="1"/>
            <c:extLst>
              <c:ext xmlns:c15="http://schemas.microsoft.com/office/drawing/2012/chart" uri="{CE6537A1-D6FC-4f65-9D91-7224C49458BB}"/>
            </c:extLst>
          </c:dLbls>
          <c:cat>
            <c:strRef>
              <c:f>Sheet1!$C$7:$C$10</c:f>
              <c:strCache>
                <c:ptCount val="4"/>
                <c:pt idx="0">
                  <c:v>T1</c:v>
                </c:pt>
                <c:pt idx="1">
                  <c:v>T2</c:v>
                </c:pt>
                <c:pt idx="2">
                  <c:v>T3</c:v>
                </c:pt>
                <c:pt idx="3">
                  <c:v>Multiple topics</c:v>
                </c:pt>
              </c:strCache>
            </c:strRef>
          </c:cat>
          <c:val>
            <c:numRef>
              <c:f>Sheet1!$D$7:$D$10</c:f>
              <c:numCache>
                <c:formatCode>General</c:formatCode>
                <c:ptCount val="4"/>
                <c:pt idx="0">
                  <c:v>49</c:v>
                </c:pt>
                <c:pt idx="1">
                  <c:v>19</c:v>
                </c:pt>
                <c:pt idx="2">
                  <c:v>22</c:v>
                </c:pt>
                <c:pt idx="3">
                  <c:v>10</c:v>
                </c:pt>
              </c:numCache>
            </c:numRef>
          </c:val>
        </c:ser>
        <c:firstSliceAng val="0"/>
      </c:pieChart>
    </c:plotArea>
    <c:plotVisOnly val="1"/>
    <c:dispBlanksAs val="zero"/>
  </c:chart>
  <c:spPr>
    <a:ln>
      <a:noFill/>
    </a:ln>
  </c:spPr>
  <c:txPr>
    <a:bodyPr/>
    <a:lstStyle/>
    <a:p>
      <a:pPr>
        <a:defRPr>
          <a:latin typeface="Gill Sans MT" panose="020B0502020104020203" pitchFamily="34" charset="0"/>
        </a:defRPr>
      </a:pPr>
      <a:endParaRPr lang="it-IT"/>
    </a:p>
  </c:txPr>
  <c:externalData r:id="rId1"/>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2315</Words>
  <Characters>13199</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Germana Santos</dc:creator>
  <cp:lastModifiedBy>giusta</cp:lastModifiedBy>
  <cp:revision>4</cp:revision>
  <cp:lastPrinted>2016-03-14T13:15:00Z</cp:lastPrinted>
  <dcterms:created xsi:type="dcterms:W3CDTF">2016-04-12T05:59:00Z</dcterms:created>
  <dcterms:modified xsi:type="dcterms:W3CDTF">2016-04-12T06:03:00Z</dcterms:modified>
</cp:coreProperties>
</file>