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39" w:rsidRPr="003C1DE8" w:rsidRDefault="006F788F" w:rsidP="006F788F">
      <w:pPr>
        <w:jc w:val="center"/>
        <w:rPr>
          <w:rFonts w:ascii="Gill Sans MT" w:hAnsi="Gill Sans MT"/>
          <w:b/>
          <w:color w:val="0070C0"/>
          <w:sz w:val="28"/>
          <w:szCs w:val="28"/>
          <w:lang w:val="en-GB"/>
        </w:rPr>
      </w:pPr>
      <w:r w:rsidRPr="003C1DE8">
        <w:rPr>
          <w:rFonts w:ascii="Gill Sans MT" w:hAnsi="Gill Sans MT"/>
          <w:b/>
          <w:color w:val="0070C0"/>
          <w:sz w:val="28"/>
          <w:szCs w:val="28"/>
          <w:lang w:val="en-GB"/>
        </w:rPr>
        <w:t>WATERW</w:t>
      </w:r>
      <w:r w:rsidR="002F7D39" w:rsidRPr="003C1DE8">
        <w:rPr>
          <w:rFonts w:ascii="Gill Sans MT" w:hAnsi="Gill Sans MT"/>
          <w:b/>
          <w:color w:val="0070C0"/>
          <w:sz w:val="28"/>
          <w:szCs w:val="28"/>
          <w:lang w:val="en-GB"/>
        </w:rPr>
        <w:t>ORKS2014 ERA-NET COFUNDED CALL:</w:t>
      </w:r>
    </w:p>
    <w:p w:rsidR="006F788F" w:rsidRPr="003C1DE8" w:rsidRDefault="006F788F" w:rsidP="006F788F">
      <w:pPr>
        <w:jc w:val="center"/>
        <w:rPr>
          <w:rFonts w:ascii="Gill Sans MT" w:hAnsi="Gill Sans MT"/>
          <w:b/>
          <w:color w:val="0070C0"/>
          <w:sz w:val="28"/>
          <w:szCs w:val="28"/>
          <w:lang w:val="en-GB"/>
        </w:rPr>
      </w:pPr>
      <w:r w:rsidRPr="003C1DE8">
        <w:rPr>
          <w:rFonts w:ascii="Gill Sans MT" w:hAnsi="Gill Sans MT"/>
          <w:b/>
          <w:color w:val="0070C0"/>
          <w:sz w:val="28"/>
          <w:szCs w:val="28"/>
          <w:lang w:val="en-GB"/>
        </w:rPr>
        <w:t>16 Projects Recommended for Funding</w:t>
      </w:r>
    </w:p>
    <w:p w:rsidR="006F788F" w:rsidRPr="003C1DE8" w:rsidRDefault="006F788F" w:rsidP="006F788F">
      <w:pPr>
        <w:jc w:val="both"/>
        <w:rPr>
          <w:rFonts w:ascii="Gill Sans MT" w:hAnsi="Gill Sans MT"/>
          <w:lang w:val="en-GB"/>
        </w:rPr>
      </w:pPr>
    </w:p>
    <w:p w:rsidR="0041333F" w:rsidRPr="003C1DE8" w:rsidRDefault="0041333F" w:rsidP="0041333F">
      <w:pPr>
        <w:jc w:val="both"/>
        <w:rPr>
          <w:rFonts w:ascii="Gill Sans MT" w:hAnsi="Gill Sans MT"/>
          <w:lang w:val="en-US"/>
        </w:rPr>
      </w:pPr>
      <w:r w:rsidRPr="003C1DE8">
        <w:rPr>
          <w:rFonts w:ascii="Gill Sans MT" w:hAnsi="Gill Sans MT"/>
          <w:lang w:val="en-US"/>
        </w:rPr>
        <w:t>The aim of the WaterWorks2014 Cofunded Call is to enable transnational, collaborative research, development and innovation projects addressing questions relating to the water challenges faced by European society.</w:t>
      </w:r>
    </w:p>
    <w:p w:rsidR="00781A64" w:rsidRPr="003C1DE8" w:rsidRDefault="00297AE6" w:rsidP="0041333F">
      <w:pPr>
        <w:jc w:val="both"/>
        <w:rPr>
          <w:rFonts w:ascii="Gill Sans MT" w:hAnsi="Gill Sans MT"/>
          <w:lang w:val="en-GB"/>
        </w:rPr>
      </w:pPr>
      <w:r w:rsidRPr="003C1DE8">
        <w:rPr>
          <w:rFonts w:ascii="Gill Sans MT" w:hAnsi="Gill Sans MT"/>
          <w:lang w:val="en-US"/>
        </w:rPr>
        <w:t>The</w:t>
      </w:r>
      <w:r w:rsidR="0069088C" w:rsidRPr="003C1DE8">
        <w:rPr>
          <w:rFonts w:ascii="Gill Sans MT" w:hAnsi="Gill Sans MT"/>
          <w:lang w:val="en-US"/>
        </w:rPr>
        <w:t xml:space="preserve"> </w:t>
      </w:r>
      <w:r w:rsidR="0041333F" w:rsidRPr="003C1DE8">
        <w:rPr>
          <w:rFonts w:ascii="Gill Sans MT" w:hAnsi="Gill Sans MT"/>
          <w:lang w:val="en-US"/>
        </w:rPr>
        <w:t>call</w:t>
      </w:r>
      <w:r w:rsidR="00C63EE4">
        <w:rPr>
          <w:rFonts w:ascii="Gill Sans MT" w:hAnsi="Gill Sans MT"/>
          <w:lang w:val="en-US"/>
        </w:rPr>
        <w:t xml:space="preserve"> focuses</w:t>
      </w:r>
      <w:r w:rsidR="0069088C" w:rsidRPr="003C1DE8">
        <w:rPr>
          <w:rFonts w:ascii="Gill Sans MT" w:hAnsi="Gill Sans MT"/>
          <w:lang w:val="en-US"/>
        </w:rPr>
        <w:t xml:space="preserve"> on the theme “</w:t>
      </w:r>
      <w:r w:rsidR="00781A64" w:rsidRPr="003C1DE8">
        <w:rPr>
          <w:rFonts w:ascii="Gill Sans MT" w:hAnsi="Gill Sans MT"/>
          <w:lang w:val="en-GB"/>
        </w:rPr>
        <w:t xml:space="preserve">Research and Innovation for Developing Technological Solutions </w:t>
      </w:r>
      <w:r w:rsidR="0041333F" w:rsidRPr="003C1DE8">
        <w:rPr>
          <w:rFonts w:ascii="Gill Sans MT" w:hAnsi="Gill Sans MT"/>
          <w:lang w:val="en-GB"/>
        </w:rPr>
        <w:t>and Services for Water Systems”, a topic that partially covers the five priority themes described in the Strategic Research and Innovation Agenda (SRIA) of the Water</w:t>
      </w:r>
      <w:r w:rsidRPr="003C1DE8">
        <w:rPr>
          <w:rFonts w:ascii="Gill Sans MT" w:hAnsi="Gill Sans MT"/>
          <w:lang w:val="en-GB"/>
        </w:rPr>
        <w:t xml:space="preserve"> </w:t>
      </w:r>
      <w:r w:rsidR="0041333F" w:rsidRPr="003C1DE8">
        <w:rPr>
          <w:rFonts w:ascii="Gill Sans MT" w:hAnsi="Gill Sans MT"/>
          <w:lang w:val="en-GB"/>
        </w:rPr>
        <w:t>JPI (http://www.waterjpi.eu).</w:t>
      </w:r>
    </w:p>
    <w:p w:rsidR="005D7E46" w:rsidRDefault="006F788F" w:rsidP="00781A64">
      <w:pPr>
        <w:jc w:val="both"/>
        <w:rPr>
          <w:rFonts w:ascii="Gill Sans MT" w:hAnsi="Gill Sans MT"/>
          <w:lang w:val="en-US"/>
        </w:rPr>
      </w:pPr>
      <w:r w:rsidRPr="003C1DE8">
        <w:rPr>
          <w:rFonts w:ascii="Gill Sans MT" w:hAnsi="Gill Sans MT"/>
          <w:lang w:val="en-US"/>
        </w:rPr>
        <w:t>A total of 16 transnational collaborative research project</w:t>
      </w:r>
      <w:r w:rsidR="00781A64" w:rsidRPr="003C1DE8">
        <w:rPr>
          <w:rFonts w:ascii="Gill Sans MT" w:hAnsi="Gill Sans MT"/>
          <w:lang w:val="en-US"/>
        </w:rPr>
        <w:t xml:space="preserve">s </w:t>
      </w:r>
      <w:r w:rsidR="0069088C" w:rsidRPr="003C1DE8">
        <w:rPr>
          <w:rFonts w:ascii="Gill Sans MT" w:hAnsi="Gill Sans MT"/>
          <w:lang w:val="en-US"/>
        </w:rPr>
        <w:t>were</w:t>
      </w:r>
      <w:r w:rsidR="00781A64" w:rsidRPr="003C1DE8">
        <w:rPr>
          <w:rFonts w:ascii="Gill Sans MT" w:hAnsi="Gill Sans MT"/>
          <w:lang w:val="en-US"/>
        </w:rPr>
        <w:t xml:space="preserve"> </w:t>
      </w:r>
      <w:r w:rsidR="002643F1" w:rsidRPr="003C1DE8">
        <w:rPr>
          <w:rFonts w:ascii="Gill Sans MT" w:hAnsi="Gill Sans MT"/>
          <w:lang w:val="en-US"/>
        </w:rPr>
        <w:t xml:space="preserve">selected </w:t>
      </w:r>
      <w:r w:rsidR="00781A64" w:rsidRPr="003C1DE8">
        <w:rPr>
          <w:rFonts w:ascii="Gill Sans MT" w:hAnsi="Gill Sans MT"/>
          <w:lang w:val="en-US"/>
        </w:rPr>
        <w:t>for funding by the Call Steering Committee</w:t>
      </w:r>
      <w:r w:rsidR="00826F43" w:rsidRPr="003C1DE8">
        <w:rPr>
          <w:rFonts w:ascii="Gill Sans MT" w:hAnsi="Gill Sans MT"/>
          <w:lang w:val="en-US"/>
        </w:rPr>
        <w:t>:</w:t>
      </w:r>
    </w:p>
    <w:p w:rsidR="00C63EE4" w:rsidRPr="003C1DE8" w:rsidRDefault="00C63EE4" w:rsidP="00781A64">
      <w:pPr>
        <w:jc w:val="both"/>
        <w:rPr>
          <w:rFonts w:ascii="Gill Sans MT" w:hAnsi="Gill Sans MT"/>
          <w:lang w:val="en-US"/>
        </w:rPr>
      </w:pPr>
    </w:p>
    <w:tbl>
      <w:tblPr>
        <w:tblW w:w="9720" w:type="dxa"/>
        <w:jc w:val="center"/>
        <w:tblInd w:w="55" w:type="dxa"/>
        <w:tblCellMar>
          <w:left w:w="70" w:type="dxa"/>
          <w:right w:w="70" w:type="dxa"/>
        </w:tblCellMar>
        <w:tblLook w:val="04A0"/>
      </w:tblPr>
      <w:tblGrid>
        <w:gridCol w:w="1900"/>
        <w:gridCol w:w="2401"/>
        <w:gridCol w:w="740"/>
        <w:gridCol w:w="1736"/>
        <w:gridCol w:w="1823"/>
        <w:gridCol w:w="1120"/>
      </w:tblGrid>
      <w:tr w:rsidR="00826F43" w:rsidRPr="00826F43" w:rsidTr="00826F43">
        <w:trPr>
          <w:trHeight w:val="375"/>
          <w:jc w:val="center"/>
        </w:trPr>
        <w:tc>
          <w:tcPr>
            <w:tcW w:w="1900" w:type="dxa"/>
            <w:tcBorders>
              <w:top w:val="single" w:sz="8" w:space="0" w:color="0070C0"/>
              <w:left w:val="single" w:sz="8" w:space="0" w:color="0070C0"/>
              <w:bottom w:val="single" w:sz="8" w:space="0" w:color="0070C0"/>
              <w:right w:val="single" w:sz="8" w:space="0" w:color="0070C0"/>
            </w:tcBorders>
            <w:shd w:val="clear" w:color="000000" w:fill="B7DEE8"/>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Acronym</w:t>
            </w:r>
          </w:p>
        </w:tc>
        <w:tc>
          <w:tcPr>
            <w:tcW w:w="2401" w:type="dxa"/>
            <w:tcBorders>
              <w:top w:val="single" w:sz="8" w:space="0" w:color="0070C0"/>
              <w:left w:val="nil"/>
              <w:bottom w:val="single" w:sz="8" w:space="0" w:color="0070C0"/>
              <w:right w:val="single" w:sz="8" w:space="0" w:color="0070C0"/>
            </w:tcBorders>
            <w:shd w:val="clear" w:color="000000" w:fill="B7DEE8"/>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Title</w:t>
            </w:r>
          </w:p>
        </w:tc>
        <w:tc>
          <w:tcPr>
            <w:tcW w:w="740" w:type="dxa"/>
            <w:tcBorders>
              <w:top w:val="single" w:sz="8" w:space="0" w:color="0070C0"/>
              <w:left w:val="nil"/>
              <w:bottom w:val="single" w:sz="8" w:space="0" w:color="0070C0"/>
              <w:right w:val="single" w:sz="8" w:space="0" w:color="0070C0"/>
            </w:tcBorders>
            <w:shd w:val="clear" w:color="000000" w:fill="B7DEE8"/>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Duration</w:t>
            </w:r>
          </w:p>
        </w:tc>
        <w:tc>
          <w:tcPr>
            <w:tcW w:w="1736" w:type="dxa"/>
            <w:tcBorders>
              <w:top w:val="single" w:sz="8" w:space="0" w:color="0070C0"/>
              <w:left w:val="nil"/>
              <w:bottom w:val="single" w:sz="8" w:space="0" w:color="0070C0"/>
              <w:right w:val="single" w:sz="8" w:space="0" w:color="0070C0"/>
            </w:tcBorders>
            <w:shd w:val="clear" w:color="000000" w:fill="B7DEE8"/>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Consortium Coordinator and PI's</w:t>
            </w:r>
          </w:p>
        </w:tc>
        <w:tc>
          <w:tcPr>
            <w:tcW w:w="1823" w:type="dxa"/>
            <w:tcBorders>
              <w:top w:val="single" w:sz="8" w:space="0" w:color="0070C0"/>
              <w:left w:val="nil"/>
              <w:bottom w:val="single" w:sz="8" w:space="0" w:color="0070C0"/>
              <w:right w:val="single" w:sz="8" w:space="0" w:color="0070C0"/>
            </w:tcBorders>
            <w:shd w:val="clear" w:color="000000" w:fill="B7DEE8"/>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Organizations</w:t>
            </w:r>
          </w:p>
        </w:tc>
        <w:tc>
          <w:tcPr>
            <w:tcW w:w="1120" w:type="dxa"/>
            <w:tcBorders>
              <w:top w:val="single" w:sz="8" w:space="0" w:color="0070C0"/>
              <w:left w:val="nil"/>
              <w:bottom w:val="single" w:sz="8" w:space="0" w:color="0070C0"/>
              <w:right w:val="single" w:sz="8" w:space="0" w:color="0070C0"/>
            </w:tcBorders>
            <w:shd w:val="clear" w:color="000000" w:fill="B7DEE8"/>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Countries</w:t>
            </w:r>
          </w:p>
        </w:tc>
      </w:tr>
      <w:tr w:rsidR="00826F43" w:rsidRPr="00826F43" w:rsidTr="00826F43">
        <w:trPr>
          <w:trHeight w:val="55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ACWAPUR</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Accelerated Water Purification during Artificial Recharge of Aquifers - A Tool to Restore Drinking Water Resources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Jens Aamand</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val="en-US" w:eastAsia="pt-PT"/>
              </w:rPr>
            </w:pPr>
            <w:r w:rsidRPr="00826F43">
              <w:rPr>
                <w:rFonts w:ascii="Calibri" w:eastAsia="Times New Roman" w:hAnsi="Calibri" w:cs="Times New Roman"/>
                <w:b/>
                <w:bCs/>
                <w:color w:val="000000"/>
                <w:sz w:val="14"/>
                <w:szCs w:val="14"/>
                <w:lang w:val="en-US" w:eastAsia="pt-PT"/>
              </w:rPr>
              <w:t>Geological Survey of Denmark and Greenland (GEUS)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Denmark</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Jesus Carrera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Instituto de Diagnóstico Ambiental y Estudios del Agua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Sara Hallin</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Swedish University of Agricultural Sciences (SLU)</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Sweden</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Caterina Levantesi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Italian National Council of Research (CNR)</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Xavier Sanchez-Vila</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Universitat Politècnica de Catalunya (UPC)</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55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Biorg4WasteWaterVal+</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Bioorganic novel approaches for food processing waste water</w:t>
            </w:r>
            <w:r w:rsidRPr="00826F43">
              <w:rPr>
                <w:rFonts w:ascii="Gill Sans MT" w:eastAsia="Times New Roman" w:hAnsi="Gill Sans MT" w:cs="Times New Roman"/>
                <w:color w:val="000000"/>
                <w:sz w:val="14"/>
                <w:szCs w:val="14"/>
                <w:lang w:val="en-US" w:eastAsia="pt-PT"/>
              </w:rPr>
              <w:br/>
              <w:t>treatment and valorisation: Lupanine case study</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Carlos Alberto Afonso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val="en-US" w:eastAsia="pt-PT"/>
              </w:rPr>
            </w:pPr>
            <w:r w:rsidRPr="00826F43">
              <w:rPr>
                <w:rFonts w:ascii="Calibri" w:eastAsia="Times New Roman" w:hAnsi="Calibri" w:cs="Times New Roman"/>
                <w:b/>
                <w:bCs/>
                <w:color w:val="000000"/>
                <w:sz w:val="14"/>
                <w:szCs w:val="14"/>
                <w:lang w:val="en-US" w:eastAsia="pt-PT"/>
              </w:rPr>
              <w:t>FARM-ID, Faculty of Pharmacy, University of Lisbon (FF-UL)</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Portugal</w:t>
            </w:r>
          </w:p>
        </w:tc>
      </w:tr>
      <w:tr w:rsidR="00826F43" w:rsidRPr="00826F43" w:rsidTr="00826F43">
        <w:trPr>
          <w:trHeight w:val="73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Frederico Ferreira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Associação do Instituto Superior Técnico para a Investigação e Desenvolvimento (IST-ID/UL)</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Francesca Malpei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Politecnico di Milano (POLIMI)</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Thomas Schäfer</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Basque Centre for Macromolecular Design &amp; Engineering</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Michalis Koutinas</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Cyprus University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Cyprus</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Dina Bastos</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 Tremoceira Estrela da Piedade, Lda.</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37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DESERT</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Low-cost water DEsalination and SEnsoR Technology compact module</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Pietro Rubino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Università degli Studi di Bari Aldo Moro</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Italy</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Emilio Nicolás</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Agencia Estatal Consejo Superior de Investigaciones Científicas (CSIC) - CEBAS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Philippe Lebailly</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Univesité de Liège</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Belgium</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Anna Maria Stellacci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Consiglio per la ricerca in agricoltura e l'analisi dell'economia agraria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Lucas Galera Quiles</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NOVEDADES AGRICOLAS SA</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DOMINO</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Dikes and Debris Flows Monitoring by Novel Optical Fiber Sensors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Luca Palmieri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University of Padova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Thom Bogaard</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Delft University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The Netherlands</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Miguel Gonzalez-Herraez</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Universidad de Alcala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Alessandro Pasuto</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National Research Council - Research Institute for Geo-Hydrological Protection</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55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IMDROFLOOD</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Improving Drought and Flood Early Warning, Forecasting and Mitigation using real-time hydroclimatic indicators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Sergio Vicente-Serrano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Consejo Superior de Investigaciones Cientificas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Spain</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Ricardo Trigo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Fundação da Faculdade de Ciências da Universidade de Lisboa (FFCUL)</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Chris Reason</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University of Cape Town</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South AfricA</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Roxana Bojariu</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National Meteorological Administration</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Romania</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Jaak Jaagus</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University of Tartu</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Estonia</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Boris Boincean</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Research Institute of Field Crops "Selectia"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Moldova</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Jainme Ribalaygua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Farisa Asesores y Consultores S.L.</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Luis Gimeno</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University of Vigo</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37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INXCES</w:t>
            </w:r>
          </w:p>
        </w:tc>
        <w:tc>
          <w:tcPr>
            <w:tcW w:w="2401"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INnovations for eXtreme Climatic EventS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Tone Merete Muthanna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val="en-US" w:eastAsia="pt-PT"/>
              </w:rPr>
            </w:pPr>
            <w:r w:rsidRPr="00826F43">
              <w:rPr>
                <w:rFonts w:ascii="Calibri" w:eastAsia="Times New Roman" w:hAnsi="Calibri" w:cs="Times New Roman"/>
                <w:b/>
                <w:bCs/>
                <w:color w:val="000000"/>
                <w:sz w:val="14"/>
                <w:szCs w:val="14"/>
                <w:lang w:val="en-US" w:eastAsia="pt-PT"/>
              </w:rPr>
              <w:t>Norwegian University of Science and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Norway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Maria Viklander</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Luleå University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Sweden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John Dehls</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Geological Survey of Norway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Norway</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Floris Cornelis Boogaard</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Hanze University of applied science in Groningen</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The Netherlands</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Radu Constantin Gogu</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Technical University of Civil Engineering Bucharest</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Romania</w:t>
            </w:r>
          </w:p>
        </w:tc>
      </w:tr>
      <w:tr w:rsidR="00826F43" w:rsidRPr="00826F43" w:rsidTr="00826F43">
        <w:trPr>
          <w:trHeight w:val="91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IRIDA</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Innovative remote and ground sensors, data and tools into a decision support system for agriculture water management</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Diego S. Intrigliolo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Agencia Estatal Consejo Superior de Investigaciones Cientificas (CSIC) - CEBAS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Spain</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Daniel Rodriguez</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Innovati Servicios Tecnologicos, SL</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Pablo J. Zarco-Tejada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Agencia Estatal Consejo Superior de Investigaciones Cientificas (CSIC) - IAS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Simona Consoli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University of Catania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Giancarlo Roccuzzo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Consiglio per la ricerca in agricoltura e l'analisi dell'economia agraria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Elena Mateescu</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National Meteorological Administration</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Romania</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Johannes Deelstra</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NIBIO, Norwegian Institute of Bioeconomy Research</w:t>
            </w:r>
          </w:p>
        </w:tc>
        <w:tc>
          <w:tcPr>
            <w:tcW w:w="1120" w:type="dxa"/>
            <w:tcBorders>
              <w:top w:val="nil"/>
              <w:left w:val="nil"/>
              <w:bottom w:val="nil"/>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Norway</w:t>
            </w:r>
          </w:p>
        </w:tc>
      </w:tr>
      <w:tr w:rsidR="00826F43" w:rsidRPr="00826F43" w:rsidTr="00826F43">
        <w:trPr>
          <w:trHeight w:val="73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MEPROWARE</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Novel Methodology for the Promotion of Treated Wastewater Reuse for Mediterranean Crops Improvement</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24m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Alfieri Pollice</w:t>
            </w:r>
          </w:p>
        </w:tc>
        <w:tc>
          <w:tcPr>
            <w:tcW w:w="1823"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val="en-US" w:eastAsia="pt-PT"/>
              </w:rPr>
            </w:pPr>
            <w:r w:rsidRPr="00826F43">
              <w:rPr>
                <w:rFonts w:ascii="Calibri" w:eastAsia="Times New Roman" w:hAnsi="Calibri" w:cs="Times New Roman"/>
                <w:b/>
                <w:bCs/>
                <w:color w:val="000000"/>
                <w:sz w:val="14"/>
                <w:szCs w:val="14"/>
                <w:lang w:val="en-US" w:eastAsia="pt-PT"/>
              </w:rPr>
              <w:t>IRSA CNR, Water Research Institute of the National Research Council of Italy</w:t>
            </w:r>
          </w:p>
        </w:tc>
        <w:tc>
          <w:tcPr>
            <w:tcW w:w="1120" w:type="dxa"/>
            <w:tcBorders>
              <w:top w:val="single" w:sz="8" w:space="0" w:color="0070C0"/>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Italy</w:t>
            </w:r>
          </w:p>
        </w:tc>
      </w:tr>
      <w:tr w:rsidR="00826F43" w:rsidRPr="00826F43" w:rsidTr="00826F43">
        <w:trPr>
          <w:trHeight w:val="109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Nicola Lamaddalena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CIHEAM-IAMB, Centre International de Hautes Etudes Agronomiques Mediterraneennes - Istituto Agronomico Mediterraneo di Bari</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Gonçalo Rodrigues</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ISA LEAF, Instituto Superior de Agronomia - University of Lisbon</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Jorge De las Heras</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UCLM, University of Castilla-La Mancha</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55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MUFFIN</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Multi-Scale Urban Flood Forecasting: From Local Tailored Systems to a Pan-European Service</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Jonas Olsson</w:t>
            </w:r>
          </w:p>
        </w:tc>
        <w:tc>
          <w:tcPr>
            <w:tcW w:w="1823"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val="en-US" w:eastAsia="pt-PT"/>
              </w:rPr>
            </w:pPr>
            <w:r w:rsidRPr="00826F43">
              <w:rPr>
                <w:rFonts w:ascii="Calibri" w:eastAsia="Times New Roman" w:hAnsi="Calibri" w:cs="Times New Roman"/>
                <w:b/>
                <w:bCs/>
                <w:color w:val="000000"/>
                <w:sz w:val="14"/>
                <w:szCs w:val="14"/>
                <w:lang w:val="en-US" w:eastAsia="pt-PT"/>
              </w:rPr>
              <w:t>Swedish Meteorological and Hydrological Institute (SMHI)</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Sweden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Soren Thorndahl</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Aalborg University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Sweden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Herman Russchenberg</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Delft University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The Netherlands</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Teemu Kokkonen</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Aalto and Helsinki University</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Finland</w:t>
            </w:r>
          </w:p>
        </w:tc>
      </w:tr>
      <w:tr w:rsidR="00826F43" w:rsidRPr="00826F43" w:rsidTr="00826F43">
        <w:trPr>
          <w:trHeight w:val="37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lastRenderedPageBreak/>
              <w:t>Pioneer_STP</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The Potential of Innovative Technologies to Improve Sustainability of Sewage Treatment Plants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Juan M. Lema</w:t>
            </w:r>
          </w:p>
        </w:tc>
        <w:tc>
          <w:tcPr>
            <w:tcW w:w="1823"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University of Santiago de Compostela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Francesco Fatone</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University of Verona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Gürkan Sin</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Technical University of Denmark</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Denmark</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Elzbieta Plaza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Royal Institute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Sweden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Jose R. Vazquez-Padin</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FCC Aqualia</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PROGNOS</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Predicting In-Lake Responses to Change Using Near Real Time Models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Donald Pierson</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Uppsala University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Sweden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Eleanor Jennings</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Dundalk Institute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Ireland</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Elvira de Eyto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Marine Institute</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Ireland</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Erik Jeppesen</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Aarhus University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Denmark</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Raoul-Marie Couture</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Norwegian Institute for Water Research - NIVA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Norway</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Gideon gal</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Israel Oceanographic and Limnological Research</w:t>
            </w:r>
          </w:p>
        </w:tc>
        <w:tc>
          <w:tcPr>
            <w:tcW w:w="1120" w:type="dxa"/>
            <w:tcBorders>
              <w:top w:val="nil"/>
              <w:left w:val="nil"/>
              <w:bottom w:val="nil"/>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Israel</w:t>
            </w:r>
          </w:p>
        </w:tc>
      </w:tr>
      <w:tr w:rsidR="00826F43" w:rsidRPr="00826F43" w:rsidTr="00826F43">
        <w:trPr>
          <w:trHeight w:val="270"/>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SIM</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Smart Irrigation from Soil Moisture Forecast Using Satellite and Hydro-Meteorological Modelling</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Marco Mancini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Politecnico di Milano</w:t>
            </w:r>
          </w:p>
        </w:tc>
        <w:tc>
          <w:tcPr>
            <w:tcW w:w="1120" w:type="dxa"/>
            <w:tcBorders>
              <w:top w:val="single" w:sz="8" w:space="0" w:color="0070C0"/>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Giacomo Branca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Università della Tuscia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Massimo Menenti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Delft University of Technology</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The Netherlands</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Li Jia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RADI-CAS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China</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Romualdo Romero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University of the Balearic Islands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José A. Sobrino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University of Valencia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Stefania Meucci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Modellistica e Monitoraggio Idrologico</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Raffaele Salerno</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Meteo Operations Italia - Centro Epson</w:t>
            </w:r>
            <w:r w:rsidRPr="00826F43">
              <w:rPr>
                <w:rFonts w:ascii="Calibri" w:eastAsia="Times New Roman" w:hAnsi="Calibri" w:cs="Times New Roman"/>
                <w:color w:val="000000"/>
                <w:sz w:val="14"/>
                <w:szCs w:val="14"/>
                <w:lang w:eastAsia="pt-PT"/>
              </w:rPr>
              <w:br/>
              <w:t>Meteo</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375"/>
          <w:jc w:val="center"/>
        </w:trPr>
        <w:tc>
          <w:tcPr>
            <w:tcW w:w="1900"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STEEP STREAMS</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Solid Transport Evaluation and Efficiency in Prevention: Sustainable Techniques of Rational Engineering and Advanced MethodS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24m</w:t>
            </w:r>
          </w:p>
        </w:tc>
        <w:tc>
          <w:tcPr>
            <w:tcW w:w="1736"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Aronne A. Armanini</w:t>
            </w:r>
          </w:p>
        </w:tc>
        <w:tc>
          <w:tcPr>
            <w:tcW w:w="1823"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Universita' degli Studi di Trento</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Giuliano Di Baldassarre</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Uppsala Universitet</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Sweden</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Antonio Heleno Cardoso</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CEris, IST-ID, Universidade de Lisboa</w:t>
            </w:r>
          </w:p>
        </w:tc>
        <w:tc>
          <w:tcPr>
            <w:tcW w:w="1120" w:type="dxa"/>
            <w:tcBorders>
              <w:top w:val="nil"/>
              <w:left w:val="nil"/>
              <w:bottom w:val="nil"/>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37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TH.E.R.BIO.R</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Thermal Energy Recovery from a Novel Sequencing Batch Biofilter Granular Reactor</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24m</w:t>
            </w:r>
          </w:p>
        </w:tc>
        <w:tc>
          <w:tcPr>
            <w:tcW w:w="1736"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Franceisco Javier Batlles Garrido</w:t>
            </w:r>
          </w:p>
        </w:tc>
        <w:tc>
          <w:tcPr>
            <w:tcW w:w="1823"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University of Almeria (UAL)</w:t>
            </w:r>
          </w:p>
        </w:tc>
        <w:tc>
          <w:tcPr>
            <w:tcW w:w="1120" w:type="dxa"/>
            <w:tcBorders>
              <w:top w:val="single" w:sz="8" w:space="0" w:color="0070C0"/>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Spain</w:t>
            </w:r>
          </w:p>
        </w:tc>
      </w:tr>
      <w:tr w:rsidR="00826F43" w:rsidRPr="00826F43" w:rsidTr="00826F43">
        <w:trPr>
          <w:trHeight w:val="55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Claudio Di Iaconi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CNR-IRSA National Research Council- Water Research Institute</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Ivan Munoz</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2.0.-LCA Consultants</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Denmark</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Inaki Acasuso Perez</w:t>
            </w:r>
          </w:p>
        </w:tc>
        <w:tc>
          <w:tcPr>
            <w:tcW w:w="1823"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Hedera Helix Ingenieria y Biotecnologia S.L.</w:t>
            </w:r>
          </w:p>
        </w:tc>
        <w:tc>
          <w:tcPr>
            <w:tcW w:w="1120" w:type="dxa"/>
            <w:tcBorders>
              <w:top w:val="nil"/>
              <w:left w:val="nil"/>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375"/>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watintech</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Smart decentralized water management through a dynamic integration of tecnologies</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Ignasi Rodriguez-Roda Layret</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val="en-US" w:eastAsia="pt-PT"/>
              </w:rPr>
            </w:pPr>
            <w:r w:rsidRPr="00826F43">
              <w:rPr>
                <w:rFonts w:ascii="Calibri" w:eastAsia="Times New Roman" w:hAnsi="Calibri" w:cs="Times New Roman"/>
                <w:b/>
                <w:bCs/>
                <w:color w:val="000000"/>
                <w:sz w:val="14"/>
                <w:szCs w:val="14"/>
                <w:lang w:val="en-US" w:eastAsia="pt-PT"/>
              </w:rPr>
              <w:t>Catalan Institute for Water Research (ICRA)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Teresa de la Torre Garcia</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ACCIONA Agua S.A.</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Giuseppe Luigi Cirelli</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Universita' di Catania (UNICT)</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Italy</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Krist V. Gernaey</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val="en-US" w:eastAsia="pt-PT"/>
              </w:rPr>
            </w:pPr>
            <w:r w:rsidRPr="00826F43">
              <w:rPr>
                <w:rFonts w:ascii="Calibri" w:eastAsia="Times New Roman" w:hAnsi="Calibri" w:cs="Times New Roman"/>
                <w:color w:val="000000"/>
                <w:sz w:val="14"/>
                <w:szCs w:val="14"/>
                <w:lang w:val="en-US" w:eastAsia="pt-PT"/>
              </w:rPr>
              <w:t>Technical University of Denmark (DTU)</w:t>
            </w:r>
          </w:p>
        </w:tc>
        <w:tc>
          <w:tcPr>
            <w:tcW w:w="1120" w:type="dxa"/>
            <w:tcBorders>
              <w:top w:val="nil"/>
              <w:left w:val="nil"/>
              <w:bottom w:val="single" w:sz="4" w:space="0" w:color="auto"/>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Denmark</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Adrian Oehmen</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NOVA.ID. FCT Universidade Nova de Lisboa</w:t>
            </w:r>
          </w:p>
        </w:tc>
        <w:tc>
          <w:tcPr>
            <w:tcW w:w="1120" w:type="dxa"/>
            <w:tcBorders>
              <w:top w:val="nil"/>
              <w:left w:val="nil"/>
              <w:bottom w:val="nil"/>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270"/>
          <w:jc w:val="center"/>
        </w:trPr>
        <w:tc>
          <w:tcPr>
            <w:tcW w:w="190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WE-NEED</w:t>
            </w:r>
          </w:p>
        </w:tc>
        <w:tc>
          <w:tcPr>
            <w:tcW w:w="2401" w:type="dxa"/>
            <w:vMerge w:val="restart"/>
            <w:tcBorders>
              <w:top w:val="nil"/>
              <w:left w:val="single" w:sz="8" w:space="0" w:color="0070C0"/>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val="en-US" w:eastAsia="pt-PT"/>
              </w:rPr>
            </w:pPr>
            <w:r w:rsidRPr="00826F43">
              <w:rPr>
                <w:rFonts w:ascii="Gill Sans MT" w:eastAsia="Times New Roman" w:hAnsi="Gill Sans MT" w:cs="Times New Roman"/>
                <w:color w:val="000000"/>
                <w:sz w:val="14"/>
                <w:szCs w:val="14"/>
                <w:lang w:val="en-US" w:eastAsia="pt-PT"/>
              </w:rPr>
              <w:t>WatEr NEEDs, availability, quality and sustainability</w:t>
            </w:r>
          </w:p>
        </w:tc>
        <w:tc>
          <w:tcPr>
            <w:tcW w:w="740" w:type="dxa"/>
            <w:vMerge w:val="restart"/>
            <w:tcBorders>
              <w:top w:val="nil"/>
              <w:left w:val="single" w:sz="8" w:space="0" w:color="0070C0"/>
              <w:bottom w:val="single" w:sz="8" w:space="0" w:color="0070C0"/>
              <w:right w:val="single" w:sz="8" w:space="0" w:color="0070C0"/>
            </w:tcBorders>
            <w:shd w:val="clear" w:color="auto" w:fill="auto"/>
            <w:noWrap/>
            <w:vAlign w:val="center"/>
            <w:hideMark/>
          </w:tcPr>
          <w:p w:rsidR="00826F43" w:rsidRPr="00826F43" w:rsidRDefault="00826F43" w:rsidP="00826F43">
            <w:pPr>
              <w:spacing w:after="0" w:line="240" w:lineRule="auto"/>
              <w:jc w:val="center"/>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36m</w:t>
            </w: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r w:rsidRPr="00826F43">
              <w:rPr>
                <w:rFonts w:ascii="Gill Sans MT" w:eastAsia="Times New Roman" w:hAnsi="Gill Sans MT" w:cs="Times New Roman"/>
                <w:b/>
                <w:bCs/>
                <w:color w:val="000000"/>
                <w:sz w:val="14"/>
                <w:szCs w:val="14"/>
                <w:lang w:eastAsia="pt-PT"/>
              </w:rPr>
              <w:t>Monica Riva</w:t>
            </w:r>
          </w:p>
        </w:tc>
        <w:tc>
          <w:tcPr>
            <w:tcW w:w="1823" w:type="dxa"/>
            <w:tcBorders>
              <w:top w:val="single" w:sz="8" w:space="0" w:color="0070C0"/>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Politecnico di Milano</w:t>
            </w:r>
          </w:p>
        </w:tc>
        <w:tc>
          <w:tcPr>
            <w:tcW w:w="1120" w:type="dxa"/>
            <w:tcBorders>
              <w:top w:val="single" w:sz="8" w:space="0" w:color="0070C0"/>
              <w:left w:val="nil"/>
              <w:bottom w:val="single" w:sz="4" w:space="0" w:color="auto"/>
              <w:right w:val="nil"/>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b/>
                <w:bCs/>
                <w:color w:val="000000"/>
                <w:sz w:val="14"/>
                <w:szCs w:val="14"/>
                <w:lang w:eastAsia="pt-PT"/>
              </w:rPr>
            </w:pPr>
            <w:r w:rsidRPr="00826F43">
              <w:rPr>
                <w:rFonts w:ascii="Calibri" w:eastAsia="Times New Roman" w:hAnsi="Calibri" w:cs="Times New Roman"/>
                <w:b/>
                <w:bCs/>
                <w:color w:val="000000"/>
                <w:sz w:val="14"/>
                <w:szCs w:val="14"/>
                <w:lang w:eastAsia="pt-PT"/>
              </w:rPr>
              <w:t>Italy</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Brian Berkowitz</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Weizmann Institute of Science</w:t>
            </w:r>
          </w:p>
        </w:tc>
        <w:tc>
          <w:tcPr>
            <w:tcW w:w="1120" w:type="dxa"/>
            <w:tcBorders>
              <w:top w:val="nil"/>
              <w:left w:val="nil"/>
              <w:bottom w:val="single" w:sz="4" w:space="0" w:color="auto"/>
              <w:right w:val="nil"/>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Israel</w:t>
            </w:r>
          </w:p>
        </w:tc>
      </w:tr>
      <w:tr w:rsidR="00826F43" w:rsidRPr="00826F43" w:rsidTr="00826F43">
        <w:trPr>
          <w:trHeight w:val="270"/>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Susana Loureiro</w:t>
            </w:r>
          </w:p>
        </w:tc>
        <w:tc>
          <w:tcPr>
            <w:tcW w:w="1823" w:type="dxa"/>
            <w:tcBorders>
              <w:top w:val="nil"/>
              <w:left w:val="nil"/>
              <w:bottom w:val="single" w:sz="4" w:space="0" w:color="auto"/>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Universidade de Aveiro</w:t>
            </w:r>
          </w:p>
        </w:tc>
        <w:tc>
          <w:tcPr>
            <w:tcW w:w="1120" w:type="dxa"/>
            <w:tcBorders>
              <w:top w:val="nil"/>
              <w:left w:val="nil"/>
              <w:bottom w:val="single" w:sz="4" w:space="0" w:color="auto"/>
              <w:right w:val="nil"/>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Portugal</w:t>
            </w:r>
          </w:p>
        </w:tc>
      </w:tr>
      <w:tr w:rsidR="00826F43" w:rsidRPr="00826F43" w:rsidTr="00826F43">
        <w:trPr>
          <w:trHeight w:val="375"/>
          <w:jc w:val="center"/>
        </w:trPr>
        <w:tc>
          <w:tcPr>
            <w:tcW w:w="190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b/>
                <w:bCs/>
                <w:color w:val="000000"/>
                <w:sz w:val="14"/>
                <w:szCs w:val="14"/>
                <w:lang w:eastAsia="pt-PT"/>
              </w:rPr>
            </w:pPr>
          </w:p>
        </w:tc>
        <w:tc>
          <w:tcPr>
            <w:tcW w:w="2401"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740" w:type="dxa"/>
            <w:vMerge/>
            <w:tcBorders>
              <w:top w:val="nil"/>
              <w:left w:val="single" w:sz="8" w:space="0" w:color="0070C0"/>
              <w:bottom w:val="single" w:sz="8" w:space="0" w:color="0070C0"/>
              <w:right w:val="single" w:sz="8" w:space="0" w:color="0070C0"/>
            </w:tcBorders>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p>
        </w:tc>
        <w:tc>
          <w:tcPr>
            <w:tcW w:w="1736" w:type="dxa"/>
            <w:tcBorders>
              <w:top w:val="nil"/>
              <w:left w:val="nil"/>
              <w:bottom w:val="single" w:sz="8" w:space="0" w:color="0070C0"/>
              <w:right w:val="single" w:sz="8" w:space="0" w:color="0070C0"/>
            </w:tcBorders>
            <w:shd w:val="clear" w:color="auto" w:fill="auto"/>
            <w:vAlign w:val="center"/>
            <w:hideMark/>
          </w:tcPr>
          <w:p w:rsidR="00826F43" w:rsidRPr="00826F43" w:rsidRDefault="00826F43" w:rsidP="00826F43">
            <w:pPr>
              <w:spacing w:after="0" w:line="240" w:lineRule="auto"/>
              <w:rPr>
                <w:rFonts w:ascii="Gill Sans MT" w:eastAsia="Times New Roman" w:hAnsi="Gill Sans MT" w:cs="Times New Roman"/>
                <w:color w:val="000000"/>
                <w:sz w:val="14"/>
                <w:szCs w:val="14"/>
                <w:lang w:eastAsia="pt-PT"/>
              </w:rPr>
            </w:pPr>
            <w:r w:rsidRPr="00826F43">
              <w:rPr>
                <w:rFonts w:ascii="Gill Sans MT" w:eastAsia="Times New Roman" w:hAnsi="Gill Sans MT" w:cs="Times New Roman"/>
                <w:color w:val="000000"/>
                <w:sz w:val="14"/>
                <w:szCs w:val="14"/>
                <w:lang w:eastAsia="pt-PT"/>
              </w:rPr>
              <w:t>Daniel Fernandez-Garcia</w:t>
            </w:r>
          </w:p>
        </w:tc>
        <w:tc>
          <w:tcPr>
            <w:tcW w:w="1823" w:type="dxa"/>
            <w:tcBorders>
              <w:top w:val="nil"/>
              <w:left w:val="nil"/>
              <w:bottom w:val="nil"/>
              <w:right w:val="single" w:sz="8" w:space="0" w:color="0070C0"/>
            </w:tcBorders>
            <w:shd w:val="clear" w:color="auto" w:fill="auto"/>
            <w:vAlign w:val="center"/>
            <w:hideMark/>
          </w:tcPr>
          <w:p w:rsidR="00826F43" w:rsidRPr="00826F43" w:rsidRDefault="00826F43" w:rsidP="00826F43">
            <w:pPr>
              <w:spacing w:after="0" w:line="240" w:lineRule="auto"/>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Universitat Politecnica de Catalunya</w:t>
            </w:r>
          </w:p>
        </w:tc>
        <w:tc>
          <w:tcPr>
            <w:tcW w:w="1120" w:type="dxa"/>
            <w:tcBorders>
              <w:top w:val="nil"/>
              <w:left w:val="nil"/>
              <w:bottom w:val="nil"/>
              <w:right w:val="nil"/>
            </w:tcBorders>
            <w:shd w:val="clear" w:color="auto" w:fill="auto"/>
            <w:noWrap/>
            <w:vAlign w:val="center"/>
            <w:hideMark/>
          </w:tcPr>
          <w:p w:rsidR="00826F43" w:rsidRPr="00826F43" w:rsidRDefault="00826F43" w:rsidP="00826F43">
            <w:pPr>
              <w:spacing w:after="0" w:line="240" w:lineRule="auto"/>
              <w:jc w:val="center"/>
              <w:rPr>
                <w:rFonts w:ascii="Calibri" w:eastAsia="Times New Roman" w:hAnsi="Calibri" w:cs="Times New Roman"/>
                <w:color w:val="000000"/>
                <w:sz w:val="14"/>
                <w:szCs w:val="14"/>
                <w:lang w:eastAsia="pt-PT"/>
              </w:rPr>
            </w:pPr>
            <w:r w:rsidRPr="00826F43">
              <w:rPr>
                <w:rFonts w:ascii="Calibri" w:eastAsia="Times New Roman" w:hAnsi="Calibri" w:cs="Times New Roman"/>
                <w:color w:val="000000"/>
                <w:sz w:val="14"/>
                <w:szCs w:val="14"/>
                <w:lang w:eastAsia="pt-PT"/>
              </w:rPr>
              <w:t>Spain</w:t>
            </w:r>
          </w:p>
        </w:tc>
      </w:tr>
    </w:tbl>
    <w:p w:rsidR="00BE7CE1" w:rsidRDefault="00BE7CE1" w:rsidP="00781A64">
      <w:pPr>
        <w:jc w:val="both"/>
        <w:rPr>
          <w:lang w:val="en-US"/>
        </w:rPr>
      </w:pPr>
    </w:p>
    <w:p w:rsidR="00FD1297" w:rsidRPr="003C1DE8" w:rsidRDefault="00FD1297" w:rsidP="00607EC8">
      <w:pPr>
        <w:jc w:val="both"/>
        <w:rPr>
          <w:rFonts w:ascii="Gill Sans MT" w:hAnsi="Gill Sans MT"/>
          <w:lang w:val="en-GB"/>
        </w:rPr>
      </w:pPr>
      <w:r w:rsidRPr="003C1DE8">
        <w:rPr>
          <w:rFonts w:ascii="Gill Sans MT" w:hAnsi="Gill Sans MT"/>
          <w:lang w:val="en-US"/>
        </w:rPr>
        <w:t>Th</w:t>
      </w:r>
      <w:r w:rsidR="002643F1" w:rsidRPr="003C1DE8">
        <w:rPr>
          <w:rFonts w:ascii="Gill Sans MT" w:hAnsi="Gill Sans MT"/>
          <w:lang w:val="en-US"/>
        </w:rPr>
        <w:t>e funding of these projects</w:t>
      </w:r>
      <w:r w:rsidRPr="003C1DE8">
        <w:rPr>
          <w:rFonts w:ascii="Gill Sans MT" w:hAnsi="Gill Sans MT"/>
          <w:lang w:val="en-US"/>
        </w:rPr>
        <w:t xml:space="preserve"> involve all 17 Funding Partner Organisations (FPOs) from the 15 different countries participating in the call – with the European Commission participation: </w:t>
      </w:r>
      <w:r w:rsidRPr="003C1DE8">
        <w:rPr>
          <w:rFonts w:ascii="Gill Sans MT" w:hAnsi="Gill Sans MT"/>
          <w:lang w:val="en-GB"/>
        </w:rPr>
        <w:t xml:space="preserve">Belgium (French-speaking community) (F.R.S.-FNRS), Cyprus (RPF), Denmark (IFD), Estonia (MoE-EE and ETAg), Ireland (EPA), Israel (MoE-IL), Italy (MIUR), Moldova (CIP), Norway </w:t>
      </w:r>
      <w:r w:rsidRPr="003C1DE8">
        <w:rPr>
          <w:rFonts w:ascii="Gill Sans MT" w:hAnsi="Gill Sans MT"/>
          <w:lang w:val="en-GB"/>
        </w:rPr>
        <w:lastRenderedPageBreak/>
        <w:t>(RCN), Portugal (FCT), Romania (UEFISCDI), South Africa (WRC), Spain (MINECO and CDTI), Sweden (FORMAS) and The Netherlands (NWO).</w:t>
      </w:r>
    </w:p>
    <w:p w:rsidR="002643F1" w:rsidRPr="00A26F36" w:rsidRDefault="002643F1" w:rsidP="002643F1">
      <w:pPr>
        <w:jc w:val="both"/>
        <w:rPr>
          <w:rFonts w:ascii="Gill Sans MT" w:hAnsi="Gill Sans MT"/>
          <w:lang w:val="en-US"/>
        </w:rPr>
      </w:pPr>
      <w:r w:rsidRPr="00A26F36">
        <w:rPr>
          <w:rFonts w:ascii="Gill Sans MT" w:hAnsi="Gill Sans MT"/>
          <w:lang w:val="en-GB"/>
        </w:rPr>
        <w:t xml:space="preserve">Grants will be awarded to each consortia partner by their national funding organizations according to national rules and procedures. The </w:t>
      </w:r>
      <w:r w:rsidRPr="00A26F36">
        <w:rPr>
          <w:rFonts w:ascii="Gill Sans MT" w:hAnsi="Gill Sans MT"/>
          <w:lang w:val="en-US"/>
        </w:rPr>
        <w:t xml:space="preserve">kick-off </w:t>
      </w:r>
      <w:r w:rsidR="00C63EE4">
        <w:rPr>
          <w:rFonts w:ascii="Gill Sans MT" w:hAnsi="Gill Sans MT"/>
          <w:lang w:val="en-US"/>
        </w:rPr>
        <w:t xml:space="preserve">of the projects </w:t>
      </w:r>
      <w:r w:rsidRPr="00A26F36">
        <w:rPr>
          <w:rFonts w:ascii="Gill Sans MT" w:hAnsi="Gill Sans MT"/>
          <w:lang w:val="en-US"/>
        </w:rPr>
        <w:t xml:space="preserve">will be scheduled after the </w:t>
      </w:r>
      <w:r w:rsidRPr="00A26F36">
        <w:rPr>
          <w:rFonts w:ascii="Gill Sans MT" w:hAnsi="Gill Sans MT"/>
          <w:lang w:val="en-GB"/>
        </w:rPr>
        <w:t>conclusion of all national funding procedures and the signature of a Consortium Agreement between the consortia partners.</w:t>
      </w:r>
    </w:p>
    <w:p w:rsidR="002643F1" w:rsidRPr="00A26F36" w:rsidRDefault="002643F1">
      <w:pPr>
        <w:jc w:val="both"/>
        <w:rPr>
          <w:rFonts w:ascii="Gill Sans MT" w:hAnsi="Gill Sans MT"/>
          <w:lang w:val="en-US"/>
        </w:rPr>
      </w:pPr>
    </w:p>
    <w:p w:rsidR="002F7D39" w:rsidRPr="00A26F36" w:rsidRDefault="002F7D39" w:rsidP="002F7D39">
      <w:pPr>
        <w:pStyle w:val="Estilo2"/>
        <w:jc w:val="center"/>
        <w:rPr>
          <w:color w:val="0070C0"/>
          <w:sz w:val="22"/>
        </w:rPr>
      </w:pPr>
      <w:bookmarkStart w:id="0" w:name="_Toc427749641"/>
      <w:r w:rsidRPr="00A26F36">
        <w:rPr>
          <w:color w:val="0070C0"/>
          <w:sz w:val="22"/>
        </w:rPr>
        <w:t>Call Statistics</w:t>
      </w:r>
      <w:bookmarkEnd w:id="0"/>
    </w:p>
    <w:p w:rsidR="002F7D39" w:rsidRPr="00A26F36" w:rsidRDefault="002F7D39" w:rsidP="002F7D39">
      <w:pPr>
        <w:pStyle w:val="Estilo2"/>
        <w:rPr>
          <w:b w:val="0"/>
          <w:color w:val="auto"/>
          <w:sz w:val="22"/>
        </w:rPr>
      </w:pPr>
    </w:p>
    <w:p w:rsidR="00A61DBC" w:rsidRPr="00A26F36" w:rsidRDefault="00A26F36" w:rsidP="00A26F36">
      <w:pPr>
        <w:spacing w:after="0"/>
        <w:jc w:val="both"/>
        <w:rPr>
          <w:rFonts w:ascii="Gill Sans MT" w:hAnsi="Gill Sans MT"/>
          <w:lang w:val="en-US"/>
        </w:rPr>
      </w:pPr>
      <w:r>
        <w:rPr>
          <w:rFonts w:ascii="Gill Sans MT" w:hAnsi="Gill Sans MT"/>
          <w:lang w:val="en-US"/>
        </w:rPr>
        <w:t>A total of</w:t>
      </w:r>
      <w:r w:rsidRPr="00A26F36">
        <w:rPr>
          <w:rFonts w:ascii="Gill Sans MT" w:hAnsi="Gill Sans MT"/>
          <w:lang w:val="en-US"/>
        </w:rPr>
        <w:t xml:space="preserve"> 118 pre-proposals were successfully submitted</w:t>
      </w:r>
      <w:r>
        <w:rPr>
          <w:rFonts w:ascii="Gill Sans MT" w:hAnsi="Gill Sans MT"/>
          <w:lang w:val="en-US"/>
        </w:rPr>
        <w:t xml:space="preserve"> to the Water Works2014 ERA-NET Cofund, the Water JPI 2015 Joint Call</w:t>
      </w:r>
      <w:r w:rsidRPr="00A26F36">
        <w:rPr>
          <w:rFonts w:ascii="Gill Sans MT" w:hAnsi="Gill Sans MT"/>
          <w:lang w:val="en-US"/>
        </w:rPr>
        <w:t>.</w:t>
      </w:r>
      <w:r w:rsidR="0061657F">
        <w:rPr>
          <w:rFonts w:ascii="Gill Sans MT" w:hAnsi="Gill Sans MT"/>
          <w:lang w:val="en-US"/>
        </w:rPr>
        <w:t xml:space="preserve"> </w:t>
      </w:r>
      <w:r w:rsidR="00A61DBC">
        <w:rPr>
          <w:rFonts w:ascii="Gill Sans MT" w:hAnsi="Gill Sans MT"/>
          <w:lang w:val="en-US"/>
        </w:rPr>
        <w:t>In Table 1 are depicted the key figures in this Two Step Evaluation Process:</w:t>
      </w:r>
    </w:p>
    <w:p w:rsidR="00A26F36" w:rsidRPr="00A26F36" w:rsidRDefault="00A26F36" w:rsidP="00A26F36">
      <w:pPr>
        <w:spacing w:after="0"/>
        <w:jc w:val="both"/>
        <w:rPr>
          <w:rFonts w:ascii="Gill Sans MT" w:hAnsi="Gill Sans MT"/>
          <w:lang w:val="en-US"/>
        </w:rPr>
      </w:pPr>
    </w:p>
    <w:p w:rsidR="00A26F36" w:rsidRPr="00A26F36" w:rsidRDefault="00A26F36" w:rsidP="00A26F36">
      <w:pPr>
        <w:spacing w:after="0"/>
        <w:jc w:val="both"/>
        <w:rPr>
          <w:rFonts w:ascii="Gill Sans MT" w:hAnsi="Gill Sans MT"/>
          <w:sz w:val="20"/>
          <w:szCs w:val="20"/>
          <w:lang w:val="en-US"/>
        </w:rPr>
      </w:pPr>
      <w:r w:rsidRPr="00A26F36">
        <w:rPr>
          <w:rFonts w:ascii="Gill Sans MT" w:hAnsi="Gill Sans MT"/>
          <w:b/>
          <w:sz w:val="20"/>
          <w:szCs w:val="20"/>
          <w:lang w:val="en-US"/>
        </w:rPr>
        <w:t>Table 1</w:t>
      </w:r>
      <w:r w:rsidRPr="00A26F36">
        <w:rPr>
          <w:rFonts w:ascii="Gill Sans MT" w:hAnsi="Gill Sans MT"/>
          <w:sz w:val="20"/>
          <w:szCs w:val="20"/>
          <w:lang w:val="en-US"/>
        </w:rPr>
        <w:t xml:space="preserve"> – General statistics on the participation level.</w:t>
      </w:r>
    </w:p>
    <w:tbl>
      <w:tblPr>
        <w:tblW w:w="8169" w:type="dxa"/>
        <w:jc w:val="center"/>
        <w:tblCellMar>
          <w:left w:w="0" w:type="dxa"/>
          <w:right w:w="0" w:type="dxa"/>
        </w:tblCellMar>
        <w:tblLook w:val="0600"/>
      </w:tblPr>
      <w:tblGrid>
        <w:gridCol w:w="6830"/>
        <w:gridCol w:w="1339"/>
      </w:tblGrid>
      <w:tr w:rsidR="00A26F36" w:rsidRPr="00C0524D" w:rsidTr="0000429C">
        <w:trPr>
          <w:trHeight w:val="291"/>
          <w:jc w:val="center"/>
        </w:trPr>
        <w:tc>
          <w:tcPr>
            <w:tcW w:w="8169" w:type="dxa"/>
            <w:gridSpan w:val="2"/>
            <w:tcBorders>
              <w:top w:val="single" w:sz="4" w:space="0" w:color="000000"/>
              <w:left w:val="single" w:sz="4" w:space="0" w:color="000000"/>
              <w:bottom w:val="single" w:sz="4" w:space="0" w:color="000000"/>
              <w:right w:val="single" w:sz="4" w:space="0" w:color="000000"/>
            </w:tcBorders>
            <w:shd w:val="clear" w:color="auto" w:fill="DAEEF3"/>
            <w:tcMar>
              <w:top w:w="15" w:type="dxa"/>
              <w:left w:w="15" w:type="dxa"/>
              <w:bottom w:w="0" w:type="dxa"/>
              <w:right w:w="15" w:type="dxa"/>
            </w:tcMar>
            <w:vAlign w:val="center"/>
            <w:hideMark/>
          </w:tcPr>
          <w:p w:rsidR="00A26F36" w:rsidRPr="00C0524D" w:rsidRDefault="00A26F36" w:rsidP="0000429C">
            <w:pPr>
              <w:jc w:val="center"/>
            </w:pPr>
            <w:r w:rsidRPr="00C0524D">
              <w:rPr>
                <w:b/>
                <w:bCs/>
              </w:rPr>
              <w:t>General Information</w:t>
            </w:r>
          </w:p>
        </w:tc>
      </w:tr>
      <w:tr w:rsidR="00A26F36" w:rsidRPr="00C0524D" w:rsidTr="0000429C">
        <w:trPr>
          <w:trHeight w:val="380"/>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81FF5" w:rsidRDefault="00A26F36" w:rsidP="0000429C">
            <w:pPr>
              <w:jc w:val="center"/>
              <w:rPr>
                <w:lang w:val="en-US"/>
              </w:rPr>
            </w:pPr>
            <w:r w:rsidRPr="00C81FF5">
              <w:rPr>
                <w:lang w:val="en-US"/>
              </w:rPr>
              <w:t>Number of submitted pre-proposals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pPr>
            <w:r w:rsidRPr="00C0524D">
              <w:rPr>
                <w:b/>
                <w:bCs/>
              </w:rPr>
              <w:t>118</w:t>
            </w:r>
          </w:p>
        </w:tc>
      </w:tr>
      <w:tr w:rsidR="00A26F36" w:rsidRPr="00C0524D" w:rsidTr="0000429C">
        <w:trPr>
          <w:trHeight w:val="449"/>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rPr>
                <w:lang w:val="en-US"/>
              </w:rPr>
            </w:pPr>
            <w:r w:rsidRPr="00C0524D">
              <w:rPr>
                <w:lang w:val="en-US"/>
              </w:rPr>
              <w:t>Number of applicants (Coordinators and Partners)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pPr>
            <w:r w:rsidRPr="00C0524D">
              <w:rPr>
                <w:b/>
                <w:bCs/>
              </w:rPr>
              <w:t>649</w:t>
            </w:r>
          </w:p>
        </w:tc>
      </w:tr>
      <w:tr w:rsidR="00A26F36" w:rsidRPr="00C0524D" w:rsidTr="0000429C">
        <w:trPr>
          <w:trHeight w:val="464"/>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rPr>
                <w:lang w:val="en-US"/>
              </w:rPr>
            </w:pPr>
            <w:r w:rsidRPr="00C0524D">
              <w:rPr>
                <w:lang w:val="en-US"/>
              </w:rPr>
              <w:t>Average number of Partners p</w:t>
            </w:r>
            <w:bookmarkStart w:id="1" w:name="_GoBack"/>
            <w:bookmarkEnd w:id="1"/>
            <w:r w:rsidRPr="00C0524D">
              <w:rPr>
                <w:lang w:val="en-US"/>
              </w:rPr>
              <w:t xml:space="preserve">er </w:t>
            </w:r>
            <w:r w:rsidR="00A61DBC">
              <w:rPr>
                <w:lang w:val="en-US"/>
              </w:rPr>
              <w:t>Consortium</w:t>
            </w:r>
            <w:r w:rsidRPr="00C0524D">
              <w:rPr>
                <w:lang w:val="en-US"/>
              </w:rPr>
              <w:t xml:space="preserve"> (submitted proposals)</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pPr>
            <w:r w:rsidRPr="00C0524D">
              <w:rPr>
                <w:b/>
                <w:bCs/>
              </w:rPr>
              <w:t>4.50</w:t>
            </w:r>
          </w:p>
        </w:tc>
      </w:tr>
      <w:tr w:rsidR="00A26F36" w:rsidRPr="00C0524D" w:rsidTr="0000429C">
        <w:trPr>
          <w:trHeight w:val="497"/>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rPr>
                <w:lang w:val="en-US"/>
              </w:rPr>
            </w:pPr>
            <w:r w:rsidRPr="00C0524D">
              <w:rPr>
                <w:lang w:val="en-US"/>
              </w:rPr>
              <w:t>Number of registered users in the Linkedin Group</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26F36" w:rsidRPr="00C0524D" w:rsidRDefault="00A26F36" w:rsidP="0000429C">
            <w:pPr>
              <w:jc w:val="center"/>
            </w:pPr>
            <w:r w:rsidRPr="00C0524D">
              <w:rPr>
                <w:b/>
                <w:bCs/>
              </w:rPr>
              <w:t>211</w:t>
            </w:r>
          </w:p>
        </w:tc>
      </w:tr>
      <w:tr w:rsidR="00A61DBC" w:rsidRPr="000751DC" w:rsidTr="0000429C">
        <w:trPr>
          <w:trHeight w:val="497"/>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61DBC" w:rsidRDefault="00A61DBC" w:rsidP="0000429C">
            <w:pPr>
              <w:jc w:val="center"/>
              <w:rPr>
                <w:lang w:val="en-US"/>
              </w:rPr>
            </w:pPr>
            <w:r>
              <w:rPr>
                <w:lang w:val="en-US"/>
              </w:rPr>
              <w:t>Number of eligible pre-proposals evaluated in Step 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61DBC" w:rsidRDefault="00A61DBC" w:rsidP="0000429C">
            <w:pPr>
              <w:jc w:val="center"/>
              <w:rPr>
                <w:b/>
                <w:bCs/>
                <w:lang w:val="en-US"/>
              </w:rPr>
            </w:pPr>
            <w:r>
              <w:rPr>
                <w:b/>
                <w:bCs/>
                <w:lang w:val="en-US"/>
              </w:rPr>
              <w:t>106</w:t>
            </w:r>
          </w:p>
        </w:tc>
      </w:tr>
      <w:tr w:rsidR="000751DC" w:rsidRPr="000751DC" w:rsidTr="0000429C">
        <w:trPr>
          <w:trHeight w:val="497"/>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751DC" w:rsidRPr="00C0524D" w:rsidRDefault="000751DC" w:rsidP="0000429C">
            <w:pPr>
              <w:jc w:val="center"/>
              <w:rPr>
                <w:lang w:val="en-US"/>
              </w:rPr>
            </w:pPr>
            <w:r>
              <w:rPr>
                <w:lang w:val="en-US"/>
              </w:rPr>
              <w:t xml:space="preserve">Number of </w:t>
            </w:r>
            <w:r w:rsidR="00A61DBC">
              <w:rPr>
                <w:lang w:val="en-US"/>
              </w:rPr>
              <w:t>full-</w:t>
            </w:r>
            <w:r>
              <w:rPr>
                <w:lang w:val="en-US"/>
              </w:rPr>
              <w:t xml:space="preserve">proposals </w:t>
            </w:r>
            <w:r w:rsidR="00A61DBC">
              <w:rPr>
                <w:lang w:val="en-US"/>
              </w:rPr>
              <w:t>evaluated in</w:t>
            </w:r>
            <w:r>
              <w:rPr>
                <w:lang w:val="en-US"/>
              </w:rPr>
              <w:t xml:space="preserve"> Step 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751DC" w:rsidRPr="000751DC" w:rsidRDefault="000751DC" w:rsidP="0000429C">
            <w:pPr>
              <w:jc w:val="center"/>
              <w:rPr>
                <w:b/>
                <w:bCs/>
                <w:lang w:val="en-US"/>
              </w:rPr>
            </w:pPr>
            <w:r>
              <w:rPr>
                <w:b/>
                <w:bCs/>
                <w:lang w:val="en-US"/>
              </w:rPr>
              <w:t>41</w:t>
            </w:r>
          </w:p>
        </w:tc>
      </w:tr>
      <w:tr w:rsidR="000751DC" w:rsidRPr="000751DC" w:rsidTr="0000429C">
        <w:trPr>
          <w:trHeight w:val="497"/>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751DC" w:rsidRPr="00C0524D" w:rsidRDefault="000751DC" w:rsidP="0000429C">
            <w:pPr>
              <w:jc w:val="center"/>
              <w:rPr>
                <w:lang w:val="en-US"/>
              </w:rPr>
            </w:pPr>
            <w:r>
              <w:rPr>
                <w:lang w:val="en-US"/>
              </w:rPr>
              <w:t>Number of proposals selected for funding</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751DC" w:rsidRPr="000751DC" w:rsidRDefault="000751DC" w:rsidP="0000429C">
            <w:pPr>
              <w:jc w:val="center"/>
              <w:rPr>
                <w:b/>
                <w:bCs/>
                <w:lang w:val="en-US"/>
              </w:rPr>
            </w:pPr>
            <w:r>
              <w:rPr>
                <w:b/>
                <w:bCs/>
                <w:lang w:val="en-US"/>
              </w:rPr>
              <w:t>16</w:t>
            </w:r>
          </w:p>
        </w:tc>
      </w:tr>
    </w:tbl>
    <w:p w:rsidR="00A26F36" w:rsidRPr="000751DC" w:rsidRDefault="00A26F36" w:rsidP="00A26F36">
      <w:pPr>
        <w:spacing w:after="0"/>
        <w:jc w:val="both"/>
        <w:rPr>
          <w:rFonts w:ascii="Gill Sans MT" w:hAnsi="Gill Sans MT"/>
          <w:lang w:val="en-US"/>
        </w:rPr>
      </w:pPr>
    </w:p>
    <w:p w:rsidR="00A26F36" w:rsidRPr="00A61DBC" w:rsidRDefault="00A26F36" w:rsidP="00A26F36">
      <w:pPr>
        <w:spacing w:after="0"/>
        <w:jc w:val="both"/>
        <w:rPr>
          <w:rFonts w:ascii="Gill Sans MT" w:hAnsi="Gill Sans MT"/>
          <w:lang w:val="en-US"/>
        </w:rPr>
      </w:pPr>
      <w:r w:rsidRPr="00A748B8">
        <w:rPr>
          <w:rFonts w:ascii="Gill Sans MT" w:hAnsi="Gill Sans MT"/>
          <w:lang w:val="en-US"/>
        </w:rPr>
        <w:t xml:space="preserve">A </w:t>
      </w:r>
      <w:r w:rsidRPr="00A748B8">
        <w:rPr>
          <w:rFonts w:ascii="Gill Sans MT" w:hAnsi="Gill Sans MT"/>
          <w:b/>
          <w:lang w:val="en-US"/>
        </w:rPr>
        <w:t>gender analysis</w:t>
      </w:r>
      <w:r w:rsidRPr="00A748B8">
        <w:rPr>
          <w:rFonts w:ascii="Gill Sans MT" w:hAnsi="Gill Sans MT"/>
          <w:lang w:val="en-US"/>
        </w:rPr>
        <w:t xml:space="preserve"> of the 118 submitted pre-proposals shows a male dominance in the consortia coordination, with around 75% of the pre-proposals being coordinated by male researchers and only 25% by female researchers.</w:t>
      </w:r>
      <w:r w:rsidR="00A61DBC">
        <w:rPr>
          <w:rFonts w:ascii="Gill Sans MT" w:hAnsi="Gill Sans MT"/>
          <w:lang w:val="en-US"/>
        </w:rPr>
        <w:t xml:space="preserve"> </w:t>
      </w:r>
      <w:r w:rsidR="00A61DBC" w:rsidRPr="00A61DBC">
        <w:rPr>
          <w:rFonts w:ascii="Gill Sans MT" w:hAnsi="Gill Sans MT"/>
          <w:lang w:val="en-US"/>
        </w:rPr>
        <w:t>This rate decreases when we proceed to the second phase, with 20% of the approved proposals being led by female researchers.</w:t>
      </w:r>
    </w:p>
    <w:p w:rsidR="00A26F36" w:rsidRPr="00A748B8" w:rsidRDefault="00A26F36" w:rsidP="00A26F36">
      <w:pPr>
        <w:spacing w:after="0"/>
        <w:jc w:val="both"/>
        <w:rPr>
          <w:rFonts w:ascii="Gill Sans MT" w:hAnsi="Gill Sans MT"/>
          <w:lang w:val="en-US"/>
        </w:rPr>
      </w:pPr>
    </w:p>
    <w:p w:rsidR="00A748B8" w:rsidRPr="00A748B8" w:rsidRDefault="00A748B8" w:rsidP="00A748B8">
      <w:pPr>
        <w:spacing w:after="0"/>
        <w:jc w:val="both"/>
        <w:rPr>
          <w:rFonts w:ascii="Gill Sans MT" w:hAnsi="Gill Sans MT"/>
          <w:lang w:val="en-US"/>
        </w:rPr>
      </w:pPr>
      <w:r w:rsidRPr="00A748B8">
        <w:rPr>
          <w:rFonts w:ascii="Gill Sans MT" w:hAnsi="Gill Sans MT"/>
          <w:lang w:val="en-US"/>
        </w:rPr>
        <w:t xml:space="preserve">In what concerns the </w:t>
      </w:r>
      <w:r w:rsidRPr="00A748B8">
        <w:rPr>
          <w:rFonts w:ascii="Gill Sans MT" w:hAnsi="Gill Sans MT"/>
          <w:b/>
          <w:lang w:val="en-US"/>
        </w:rPr>
        <w:t>countries participation</w:t>
      </w:r>
      <w:r w:rsidRPr="00A748B8">
        <w:rPr>
          <w:rFonts w:ascii="Gill Sans MT" w:hAnsi="Gill Sans MT"/>
          <w:lang w:val="en-US"/>
        </w:rPr>
        <w:t xml:space="preserve"> in the call, it was observed that 97% of the submitted pre-proposals involve</w:t>
      </w:r>
      <w:r w:rsidRPr="00A748B8" w:rsidDel="000251F9">
        <w:rPr>
          <w:rFonts w:ascii="Gill Sans MT" w:hAnsi="Gill Sans MT"/>
          <w:lang w:val="en-US"/>
        </w:rPr>
        <w:t xml:space="preserve"> </w:t>
      </w:r>
      <w:r w:rsidRPr="00A748B8">
        <w:rPr>
          <w:rFonts w:ascii="Gill Sans MT" w:hAnsi="Gill Sans MT"/>
          <w:lang w:val="en-US"/>
        </w:rPr>
        <w:t>partners from the funding countries exclusively. The remaining 3% of the pre-proposals include partners from non-funding countries, specifically, China, Canada, Poland and Finland, whose collaboration was based in their own funding (Figure 1).</w:t>
      </w:r>
    </w:p>
    <w:p w:rsidR="00A26F36" w:rsidRDefault="00A26F36" w:rsidP="00A26F36">
      <w:pPr>
        <w:spacing w:after="0"/>
        <w:jc w:val="both"/>
        <w:rPr>
          <w:rFonts w:ascii="Gill Sans MT" w:hAnsi="Gill Sans MT"/>
          <w:lang w:val="en-US"/>
        </w:rPr>
      </w:pPr>
    </w:p>
    <w:p w:rsidR="00CA6047" w:rsidRDefault="00CA6047" w:rsidP="00CA6047">
      <w:pPr>
        <w:spacing w:after="0"/>
        <w:jc w:val="center"/>
        <w:rPr>
          <w:rFonts w:ascii="Gill Sans MT" w:hAnsi="Gill Sans MT"/>
          <w:lang w:val="en-US"/>
        </w:rPr>
      </w:pPr>
      <w:r w:rsidRPr="00A748B8">
        <w:rPr>
          <w:rFonts w:ascii="Gill Sans MT" w:hAnsi="Gill Sans MT"/>
          <w:noProof/>
          <w:lang w:val="it-IT" w:eastAsia="it-IT"/>
        </w:rPr>
        <w:lastRenderedPageBreak/>
        <w:drawing>
          <wp:inline distT="0" distB="0" distL="0" distR="0">
            <wp:extent cx="4200525" cy="22383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A6047" w:rsidRPr="00A748B8" w:rsidRDefault="00CA6047" w:rsidP="00CA6047">
      <w:pPr>
        <w:spacing w:after="0"/>
        <w:jc w:val="both"/>
        <w:rPr>
          <w:rFonts w:ascii="Gill Sans MT" w:hAnsi="Gill Sans MT"/>
          <w:sz w:val="20"/>
          <w:lang w:val="en-US"/>
        </w:rPr>
      </w:pPr>
      <w:r w:rsidRPr="00A748B8">
        <w:rPr>
          <w:rFonts w:ascii="Gill Sans MT" w:hAnsi="Gill Sans MT"/>
          <w:b/>
          <w:sz w:val="20"/>
          <w:lang w:val="en-US"/>
        </w:rPr>
        <w:t>Figure 1</w:t>
      </w:r>
      <w:r w:rsidRPr="00A748B8">
        <w:rPr>
          <w:rFonts w:ascii="Gill Sans MT" w:hAnsi="Gill Sans MT"/>
          <w:sz w:val="20"/>
          <w:lang w:val="en-US"/>
        </w:rPr>
        <w:t xml:space="preserve"> – Countries participation in the call, namely funding countries and non-funding countries.</w:t>
      </w:r>
    </w:p>
    <w:p w:rsidR="00CA6047" w:rsidRDefault="00CA6047" w:rsidP="00A26F36">
      <w:pPr>
        <w:spacing w:after="0"/>
        <w:jc w:val="both"/>
        <w:rPr>
          <w:rFonts w:ascii="Gill Sans MT" w:hAnsi="Gill Sans MT"/>
          <w:lang w:val="en-US"/>
        </w:rPr>
      </w:pPr>
    </w:p>
    <w:p w:rsidR="00A61DBC" w:rsidRPr="00A61DBC" w:rsidRDefault="00A61DBC" w:rsidP="00A61DBC">
      <w:pPr>
        <w:spacing w:after="0"/>
        <w:jc w:val="both"/>
        <w:rPr>
          <w:rFonts w:ascii="Gill Sans MT" w:hAnsi="Gill Sans MT"/>
          <w:lang w:val="en-US"/>
        </w:rPr>
      </w:pPr>
      <w:r w:rsidRPr="00A61DBC">
        <w:rPr>
          <w:rFonts w:ascii="Gill Sans MT" w:hAnsi="Gill Sans MT"/>
          <w:lang w:val="en-US"/>
        </w:rPr>
        <w:t>If one analyses the number of partners per country among the submitted pre-proposals, it is observed a strong engagement of partners from Spain, Italy and Portugal, a pattern that is confirmed in the number of Consortia Coordination’s per country, as depicted in Figure 2.</w:t>
      </w:r>
    </w:p>
    <w:p w:rsidR="00A61DBC" w:rsidRPr="00A61DBC" w:rsidRDefault="00A61DBC" w:rsidP="00A61DBC">
      <w:pPr>
        <w:spacing w:after="0"/>
        <w:jc w:val="both"/>
        <w:rPr>
          <w:rFonts w:ascii="Gill Sans MT" w:hAnsi="Gill Sans MT"/>
          <w:lang w:val="en-US"/>
        </w:rPr>
      </w:pPr>
    </w:p>
    <w:p w:rsidR="00A61DBC" w:rsidRDefault="00A61DBC" w:rsidP="00A61DBC">
      <w:pPr>
        <w:spacing w:after="0"/>
        <w:jc w:val="center"/>
      </w:pPr>
      <w:r>
        <w:rPr>
          <w:noProof/>
          <w:lang w:val="it-IT" w:eastAsia="it-IT"/>
        </w:rPr>
        <w:drawing>
          <wp:inline distT="0" distB="0" distL="0" distR="0">
            <wp:extent cx="5819775" cy="32670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1DBC" w:rsidRPr="00A61DBC" w:rsidRDefault="00A61DBC" w:rsidP="00A61DBC">
      <w:pPr>
        <w:spacing w:after="0"/>
        <w:jc w:val="both"/>
        <w:rPr>
          <w:rFonts w:ascii="Gill Sans MT" w:hAnsi="Gill Sans MT"/>
          <w:sz w:val="20"/>
          <w:lang w:val="en-US"/>
        </w:rPr>
      </w:pPr>
      <w:r w:rsidRPr="00A61DBC">
        <w:rPr>
          <w:rFonts w:ascii="Gill Sans MT" w:hAnsi="Gill Sans MT"/>
          <w:b/>
          <w:sz w:val="20"/>
          <w:lang w:val="en-US"/>
        </w:rPr>
        <w:t>Figure 2</w:t>
      </w:r>
      <w:r w:rsidRPr="00A61DBC">
        <w:rPr>
          <w:rFonts w:ascii="Gill Sans MT" w:hAnsi="Gill Sans MT"/>
          <w:sz w:val="20"/>
          <w:lang w:val="en-US"/>
        </w:rPr>
        <w:t xml:space="preserve"> – Total number of Coordinators and Partners per country, considering the 118 submitted pre-proposals.</w:t>
      </w:r>
    </w:p>
    <w:p w:rsidR="00A61DBC" w:rsidRPr="00A61DBC" w:rsidRDefault="00A61DBC" w:rsidP="00A61DBC">
      <w:pPr>
        <w:spacing w:after="0"/>
        <w:jc w:val="both"/>
        <w:rPr>
          <w:rFonts w:ascii="Gill Sans MT" w:hAnsi="Gill Sans MT"/>
          <w:lang w:val="en-US"/>
        </w:rPr>
      </w:pPr>
    </w:p>
    <w:p w:rsidR="00A61DBC" w:rsidRPr="00A61DBC" w:rsidRDefault="00A61DBC" w:rsidP="00A61DBC">
      <w:pPr>
        <w:spacing w:after="0"/>
        <w:jc w:val="both"/>
        <w:rPr>
          <w:rFonts w:ascii="Gill Sans MT" w:hAnsi="Gill Sans MT"/>
          <w:lang w:val="en-US"/>
        </w:rPr>
      </w:pPr>
      <w:r w:rsidRPr="00A61DBC">
        <w:rPr>
          <w:rFonts w:ascii="Gill Sans MT" w:hAnsi="Gill Sans MT"/>
          <w:lang w:val="en-US"/>
        </w:rPr>
        <w:t>Considering the strong participation of Spain, Italy and Portugal in this call, it comes as no surprise that among the 41 pre-proposals selected to proceed to the second phase, the weight of these countries prevail (Figure 3).</w:t>
      </w:r>
    </w:p>
    <w:p w:rsidR="00A61DBC" w:rsidRPr="00A61DBC" w:rsidRDefault="00A61DBC" w:rsidP="00A61DBC">
      <w:pPr>
        <w:spacing w:after="0"/>
        <w:jc w:val="both"/>
        <w:rPr>
          <w:rFonts w:ascii="Gill Sans MT" w:hAnsi="Gill Sans MT"/>
          <w:lang w:val="en-US"/>
        </w:rPr>
      </w:pPr>
    </w:p>
    <w:p w:rsidR="00A61DBC" w:rsidRDefault="00A61DBC" w:rsidP="00A61DBC">
      <w:pPr>
        <w:spacing w:after="0"/>
        <w:jc w:val="both"/>
      </w:pPr>
      <w:r>
        <w:rPr>
          <w:noProof/>
          <w:lang w:val="it-IT" w:eastAsia="it-IT"/>
        </w:rPr>
        <w:lastRenderedPageBreak/>
        <w:drawing>
          <wp:inline distT="0" distB="0" distL="0" distR="0">
            <wp:extent cx="5600700" cy="32575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1DBC" w:rsidRPr="00A61DBC" w:rsidRDefault="00A61DBC" w:rsidP="00A61DBC">
      <w:pPr>
        <w:spacing w:after="0"/>
        <w:jc w:val="both"/>
        <w:rPr>
          <w:rFonts w:ascii="Gill Sans MT" w:hAnsi="Gill Sans MT"/>
          <w:sz w:val="20"/>
          <w:lang w:val="en-US"/>
        </w:rPr>
      </w:pPr>
      <w:r w:rsidRPr="00A61DBC">
        <w:rPr>
          <w:rFonts w:ascii="Gill Sans MT" w:hAnsi="Gill Sans MT"/>
          <w:b/>
          <w:sz w:val="20"/>
          <w:lang w:val="en-US"/>
        </w:rPr>
        <w:t xml:space="preserve">Figure 3 </w:t>
      </w:r>
      <w:r w:rsidRPr="00A61DBC">
        <w:rPr>
          <w:rFonts w:ascii="Gill Sans MT" w:hAnsi="Gill Sans MT"/>
          <w:sz w:val="20"/>
          <w:lang w:val="en-US"/>
        </w:rPr>
        <w:t>– Total number of Coordinators and Partners per country in the group of 41 pre-proposals selected to proceed to Step 2.</w:t>
      </w:r>
    </w:p>
    <w:p w:rsidR="00A61DBC" w:rsidRDefault="00A61DBC" w:rsidP="00A26F36">
      <w:pPr>
        <w:spacing w:after="0"/>
        <w:jc w:val="both"/>
        <w:rPr>
          <w:rFonts w:ascii="Gill Sans MT" w:hAnsi="Gill Sans MT"/>
          <w:lang w:val="en-US"/>
        </w:rPr>
      </w:pPr>
    </w:p>
    <w:p w:rsidR="00CA6047" w:rsidRPr="00CA6047" w:rsidRDefault="00CA6047" w:rsidP="00CA6047">
      <w:pPr>
        <w:spacing w:after="0"/>
        <w:jc w:val="both"/>
        <w:rPr>
          <w:rFonts w:ascii="Gill Sans MT" w:hAnsi="Gill Sans MT"/>
          <w:lang w:val="en-US"/>
        </w:rPr>
      </w:pPr>
      <w:r w:rsidRPr="00CA6047">
        <w:rPr>
          <w:rFonts w:ascii="Gill Sans MT" w:hAnsi="Gill Sans MT"/>
          <w:lang w:val="en-US"/>
        </w:rPr>
        <w:t xml:space="preserve">Regarding the </w:t>
      </w:r>
      <w:r w:rsidRPr="00CA6047">
        <w:rPr>
          <w:rFonts w:ascii="Gill Sans MT" w:hAnsi="Gill Sans MT"/>
          <w:b/>
          <w:lang w:val="en-US"/>
        </w:rPr>
        <w:t>typology of the participating organizations</w:t>
      </w:r>
      <w:r w:rsidRPr="00CA6047">
        <w:rPr>
          <w:rFonts w:ascii="Gill Sans MT" w:hAnsi="Gill Sans MT"/>
          <w:lang w:val="en-US"/>
        </w:rPr>
        <w:t xml:space="preserve">, we can see in Figure 4 that non-profit organizations are the predominant </w:t>
      </w:r>
      <w:r w:rsidR="004E0FC9">
        <w:rPr>
          <w:rFonts w:ascii="Gill Sans MT" w:hAnsi="Gill Sans MT"/>
          <w:lang w:val="en-US"/>
        </w:rPr>
        <w:t>coordinators/</w:t>
      </w:r>
      <w:r w:rsidRPr="00CA6047">
        <w:rPr>
          <w:rFonts w:ascii="Gill Sans MT" w:hAnsi="Gill Sans MT"/>
          <w:lang w:val="en-US"/>
        </w:rPr>
        <w:t>partner’s organization type (</w:t>
      </w:r>
      <w:r w:rsidR="004E0FC9">
        <w:rPr>
          <w:rFonts w:ascii="Gill Sans MT" w:hAnsi="Gill Sans MT"/>
          <w:lang w:val="en-US"/>
        </w:rPr>
        <w:t>93%-</w:t>
      </w:r>
      <w:r w:rsidRPr="00CA6047">
        <w:rPr>
          <w:rFonts w:ascii="Gill Sans MT" w:hAnsi="Gill Sans MT"/>
          <w:lang w:val="en-US"/>
        </w:rPr>
        <w:t xml:space="preserve">80%). Only 20% of the proposals involve partners from private enterprises. This number </w:t>
      </w:r>
      <w:proofErr w:type="spellStart"/>
      <w:r w:rsidR="004E0FC9">
        <w:rPr>
          <w:rFonts w:ascii="Gill Sans MT" w:hAnsi="Gill Sans MT"/>
          <w:lang w:val="en-US"/>
        </w:rPr>
        <w:t>decreases</w:t>
      </w:r>
      <w:r w:rsidR="004E0FC9" w:rsidRPr="00CA6047">
        <w:rPr>
          <w:rFonts w:ascii="Gill Sans MT" w:hAnsi="Gill Sans MT"/>
          <w:lang w:val="en-US"/>
        </w:rPr>
        <w:t>s</w:t>
      </w:r>
      <w:proofErr w:type="spellEnd"/>
      <w:r w:rsidR="004E0FC9" w:rsidRPr="00CA6047">
        <w:rPr>
          <w:rFonts w:ascii="Gill Sans MT" w:hAnsi="Gill Sans MT"/>
          <w:lang w:val="en-US"/>
        </w:rPr>
        <w:t xml:space="preserve"> </w:t>
      </w:r>
      <w:r w:rsidRPr="00CA6047">
        <w:rPr>
          <w:rFonts w:ascii="Gill Sans MT" w:hAnsi="Gill Sans MT"/>
          <w:lang w:val="en-US"/>
        </w:rPr>
        <w:t>in which regards the coordination of pre-proposals. Only 7% of the pre-proposals submitted are coordinated by enterprises.</w:t>
      </w:r>
    </w:p>
    <w:p w:rsidR="00CA6047" w:rsidRPr="00CA6047" w:rsidRDefault="00CA6047" w:rsidP="00CA6047">
      <w:pPr>
        <w:spacing w:after="0"/>
        <w:jc w:val="both"/>
        <w:rPr>
          <w:rFonts w:ascii="Gill Sans MT" w:hAnsi="Gill Sans MT"/>
          <w:lang w:val="en-US"/>
        </w:rPr>
      </w:pPr>
    </w:p>
    <w:p w:rsidR="00CA6047" w:rsidRDefault="00CA6047" w:rsidP="00CA6047">
      <w:pPr>
        <w:spacing w:after="0"/>
        <w:jc w:val="center"/>
      </w:pPr>
      <w:r w:rsidRPr="00C0524D">
        <w:rPr>
          <w:noProof/>
          <w:lang w:val="it-IT" w:eastAsia="it-IT"/>
        </w:rPr>
        <w:drawing>
          <wp:inline distT="0" distB="0" distL="0" distR="0">
            <wp:extent cx="2486025" cy="20097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0524D">
        <w:rPr>
          <w:noProof/>
          <w:lang w:val="it-IT" w:eastAsia="it-IT"/>
        </w:rPr>
        <w:drawing>
          <wp:inline distT="0" distB="0" distL="0" distR="0">
            <wp:extent cx="2819400" cy="2019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6047" w:rsidRPr="00CA6047" w:rsidRDefault="00CA6047" w:rsidP="00CA6047">
      <w:pPr>
        <w:spacing w:after="0"/>
        <w:jc w:val="both"/>
        <w:rPr>
          <w:rFonts w:ascii="Gill Sans MT" w:hAnsi="Gill Sans MT"/>
          <w:sz w:val="20"/>
          <w:lang w:val="en-US"/>
        </w:rPr>
      </w:pPr>
      <w:r w:rsidRPr="00CA6047">
        <w:rPr>
          <w:rFonts w:ascii="Gill Sans MT" w:hAnsi="Gill Sans MT"/>
          <w:b/>
          <w:sz w:val="20"/>
          <w:lang w:val="en-US"/>
        </w:rPr>
        <w:t>Figure 4</w:t>
      </w:r>
      <w:r w:rsidRPr="00CA6047">
        <w:rPr>
          <w:rFonts w:ascii="Gill Sans MT" w:hAnsi="Gill Sans MT"/>
          <w:sz w:val="20"/>
          <w:lang w:val="en-US"/>
        </w:rPr>
        <w:t xml:space="preserve"> – Total number of Coordinators and Partners per organisation type in the group of 118 pre-proposals submitted to Step 1.</w:t>
      </w:r>
    </w:p>
    <w:p w:rsidR="00A748B8" w:rsidRPr="00CA6047" w:rsidRDefault="00A748B8" w:rsidP="00A748B8">
      <w:pPr>
        <w:spacing w:after="0"/>
        <w:jc w:val="both"/>
        <w:rPr>
          <w:rFonts w:ascii="Gill Sans MT" w:hAnsi="Gill Sans MT"/>
          <w:lang w:val="en-US"/>
        </w:rPr>
      </w:pPr>
    </w:p>
    <w:p w:rsidR="00CA6047" w:rsidRPr="00CA6047" w:rsidRDefault="00CA6047" w:rsidP="00CA6047">
      <w:pPr>
        <w:spacing w:after="0"/>
        <w:jc w:val="both"/>
        <w:rPr>
          <w:rFonts w:ascii="Gill Sans MT" w:hAnsi="Gill Sans MT"/>
          <w:lang w:val="en-US"/>
        </w:rPr>
      </w:pPr>
      <w:r w:rsidRPr="00CA6047">
        <w:rPr>
          <w:rFonts w:ascii="Gill Sans MT" w:hAnsi="Gill Sans MT"/>
          <w:lang w:val="en-US"/>
        </w:rPr>
        <w:t xml:space="preserve">Concerning the </w:t>
      </w:r>
      <w:r w:rsidRPr="00CA6047">
        <w:rPr>
          <w:rFonts w:ascii="Gill Sans MT" w:hAnsi="Gill Sans MT"/>
          <w:b/>
          <w:lang w:val="en-US"/>
        </w:rPr>
        <w:t>financing plan</w:t>
      </w:r>
      <w:r w:rsidRPr="00CA6047">
        <w:rPr>
          <w:rFonts w:ascii="Gill Sans MT" w:hAnsi="Gill Sans MT"/>
          <w:lang w:val="en-US"/>
        </w:rPr>
        <w:t>, the total requested funding in this call amounts to close to €104 million, which corresponds to about 76% of the total costs declared, and to circa of 7 times more when compared to the available funds (€15 million).</w:t>
      </w:r>
    </w:p>
    <w:p w:rsidR="00CA6047" w:rsidRPr="00CA6047" w:rsidRDefault="00CA6047" w:rsidP="00CA6047">
      <w:pPr>
        <w:spacing w:after="0"/>
        <w:jc w:val="both"/>
        <w:rPr>
          <w:rFonts w:ascii="Gill Sans MT" w:hAnsi="Gill Sans MT"/>
          <w:lang w:val="en-US"/>
        </w:rPr>
      </w:pPr>
    </w:p>
    <w:p w:rsidR="00CA6047" w:rsidRDefault="00CA6047" w:rsidP="00CA6047">
      <w:pPr>
        <w:spacing w:after="0"/>
        <w:jc w:val="center"/>
      </w:pPr>
      <w:r>
        <w:rPr>
          <w:noProof/>
          <w:lang w:val="it-IT" w:eastAsia="it-IT"/>
        </w:rPr>
        <w:lastRenderedPageBreak/>
        <w:drawing>
          <wp:inline distT="0" distB="0" distL="0" distR="0">
            <wp:extent cx="5143500" cy="25908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6047" w:rsidRPr="00CA6047" w:rsidRDefault="00CA6047" w:rsidP="00CA6047">
      <w:pPr>
        <w:spacing w:after="0"/>
        <w:jc w:val="both"/>
        <w:rPr>
          <w:rFonts w:ascii="Gill Sans MT" w:hAnsi="Gill Sans MT"/>
          <w:sz w:val="20"/>
          <w:lang w:val="en-US"/>
        </w:rPr>
      </w:pPr>
      <w:r w:rsidRPr="00CA6047">
        <w:rPr>
          <w:rFonts w:ascii="Gill Sans MT" w:hAnsi="Gill Sans MT"/>
          <w:b/>
          <w:sz w:val="20"/>
          <w:lang w:val="en-US"/>
        </w:rPr>
        <w:t>Figure 5</w:t>
      </w:r>
      <w:r w:rsidRPr="00CA6047">
        <w:rPr>
          <w:rFonts w:ascii="Gill Sans MT" w:hAnsi="Gill Sans MT"/>
          <w:sz w:val="20"/>
          <w:lang w:val="en-US"/>
        </w:rPr>
        <w:t xml:space="preserve"> – Financing Plan: Overall requested funding, own contribution and total costs estimated in the group of 118 pre-proposals submitted to the call.</w:t>
      </w:r>
    </w:p>
    <w:p w:rsidR="00CA6047" w:rsidRPr="00CA6047" w:rsidRDefault="00CA6047" w:rsidP="00CA6047">
      <w:pPr>
        <w:spacing w:after="0"/>
        <w:jc w:val="both"/>
        <w:rPr>
          <w:rFonts w:ascii="Gill Sans MT" w:hAnsi="Gill Sans MT"/>
          <w:lang w:val="en-US"/>
        </w:rPr>
      </w:pPr>
    </w:p>
    <w:p w:rsidR="00CA6047" w:rsidRPr="00CA6047" w:rsidRDefault="00CA6047" w:rsidP="00CA6047">
      <w:pPr>
        <w:spacing w:after="0"/>
        <w:jc w:val="both"/>
        <w:rPr>
          <w:rFonts w:ascii="Gill Sans MT" w:hAnsi="Gill Sans MT"/>
          <w:lang w:val="en-US"/>
        </w:rPr>
      </w:pPr>
      <w:r w:rsidRPr="00CA6047">
        <w:rPr>
          <w:rFonts w:ascii="Gill Sans MT" w:hAnsi="Gill Sans MT"/>
          <w:lang w:val="en-US"/>
        </w:rPr>
        <w:t>In sync with the strong participation of non-profit organisations in the call, 87% of the total requested funding comes from this type of organizations (Figure 6).</w:t>
      </w:r>
    </w:p>
    <w:p w:rsidR="00CA6047" w:rsidRPr="00CA6047" w:rsidRDefault="00CA6047" w:rsidP="00CA6047">
      <w:pPr>
        <w:spacing w:after="0"/>
        <w:jc w:val="both"/>
        <w:rPr>
          <w:rFonts w:ascii="Gill Sans MT" w:hAnsi="Gill Sans MT"/>
          <w:lang w:val="en-US"/>
        </w:rPr>
      </w:pPr>
    </w:p>
    <w:p w:rsidR="00CA6047" w:rsidRDefault="00CA6047" w:rsidP="00CA6047">
      <w:pPr>
        <w:spacing w:after="0"/>
        <w:jc w:val="center"/>
      </w:pPr>
      <w:r>
        <w:rPr>
          <w:noProof/>
          <w:lang w:val="it-IT" w:eastAsia="it-IT"/>
        </w:rPr>
        <w:drawing>
          <wp:inline distT="0" distB="0" distL="0" distR="0">
            <wp:extent cx="5172075" cy="26574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6047" w:rsidRPr="00CA6047" w:rsidRDefault="00CA6047" w:rsidP="00CA6047">
      <w:pPr>
        <w:spacing w:after="0"/>
        <w:jc w:val="both"/>
        <w:rPr>
          <w:rFonts w:ascii="Gill Sans MT" w:hAnsi="Gill Sans MT"/>
          <w:sz w:val="20"/>
          <w:lang w:val="en-US"/>
        </w:rPr>
      </w:pPr>
      <w:r w:rsidRPr="00CA6047">
        <w:rPr>
          <w:rFonts w:ascii="Gill Sans MT" w:hAnsi="Gill Sans MT"/>
          <w:b/>
          <w:sz w:val="20"/>
          <w:lang w:val="en-US"/>
        </w:rPr>
        <w:t>Figure 6</w:t>
      </w:r>
      <w:r w:rsidRPr="00CA6047">
        <w:rPr>
          <w:rFonts w:ascii="Gill Sans MT" w:hAnsi="Gill Sans MT"/>
          <w:sz w:val="20"/>
          <w:lang w:val="en-US"/>
        </w:rPr>
        <w:t xml:space="preserve"> – Overall requested funding by organization type estimated in the group of 118 pre-proposals submitted to the call.</w:t>
      </w:r>
    </w:p>
    <w:p w:rsidR="00A748B8" w:rsidRDefault="00A748B8" w:rsidP="00CA6047">
      <w:pPr>
        <w:spacing w:after="0"/>
        <w:jc w:val="both"/>
        <w:rPr>
          <w:rFonts w:ascii="Gill Sans MT" w:hAnsi="Gill Sans MT"/>
          <w:lang w:val="en-US"/>
        </w:rPr>
      </w:pPr>
    </w:p>
    <w:p w:rsidR="00A25520" w:rsidRDefault="00A25520" w:rsidP="00F855CD">
      <w:pPr>
        <w:spacing w:after="0"/>
        <w:jc w:val="both"/>
        <w:rPr>
          <w:rFonts w:ascii="Gill Sans MT" w:hAnsi="Gill Sans MT"/>
          <w:lang w:val="en-US"/>
        </w:rPr>
      </w:pPr>
      <w:r>
        <w:rPr>
          <w:rFonts w:ascii="Gill Sans MT" w:hAnsi="Gill Sans MT"/>
          <w:lang w:val="en-US"/>
        </w:rPr>
        <w:t>At the end of Step 1,</w:t>
      </w:r>
      <w:r w:rsidR="00F855CD">
        <w:rPr>
          <w:rFonts w:ascii="Gill Sans MT" w:hAnsi="Gill Sans MT"/>
          <w:lang w:val="en-US"/>
        </w:rPr>
        <w:t xml:space="preserve"> 41 proposals were selected to advance to Step 2 and submit</w:t>
      </w:r>
      <w:r>
        <w:rPr>
          <w:rFonts w:ascii="Gill Sans MT" w:hAnsi="Gill Sans MT"/>
          <w:lang w:val="en-US"/>
        </w:rPr>
        <w:t xml:space="preserve"> a full proposal, i.e.,</w:t>
      </w:r>
      <w:r w:rsidRPr="00A25520">
        <w:rPr>
          <w:lang w:val="en-US"/>
        </w:rPr>
        <w:t xml:space="preserve"> </w:t>
      </w:r>
      <w:r>
        <w:rPr>
          <w:lang w:val="en-US"/>
        </w:rPr>
        <w:t>about</w:t>
      </w:r>
      <w:r w:rsidRPr="00A25520">
        <w:rPr>
          <w:lang w:val="en-US"/>
        </w:rPr>
        <w:t xml:space="preserve"> 39% of the eligible pre-proposals </w:t>
      </w:r>
      <w:r>
        <w:rPr>
          <w:lang w:val="en-US"/>
        </w:rPr>
        <w:t>proceeded</w:t>
      </w:r>
      <w:r w:rsidRPr="00A25520">
        <w:rPr>
          <w:lang w:val="en-US"/>
        </w:rPr>
        <w:t xml:space="preserve"> to Step 2.</w:t>
      </w:r>
    </w:p>
    <w:p w:rsidR="00A25520" w:rsidRDefault="00A25520" w:rsidP="00F855CD">
      <w:pPr>
        <w:spacing w:after="0"/>
        <w:jc w:val="both"/>
        <w:rPr>
          <w:rFonts w:ascii="Gill Sans MT" w:hAnsi="Gill Sans MT"/>
          <w:lang w:val="en-US"/>
        </w:rPr>
      </w:pPr>
    </w:p>
    <w:p w:rsidR="00F855CD" w:rsidRPr="00F855CD" w:rsidRDefault="00F855CD" w:rsidP="00F855CD">
      <w:pPr>
        <w:spacing w:after="0"/>
        <w:jc w:val="both"/>
        <w:rPr>
          <w:rFonts w:ascii="Gill Sans MT" w:hAnsi="Gill Sans MT"/>
          <w:lang w:val="en-US"/>
        </w:rPr>
      </w:pPr>
      <w:r>
        <w:rPr>
          <w:rFonts w:ascii="Gill Sans MT" w:hAnsi="Gill Sans MT"/>
          <w:lang w:val="en-US"/>
        </w:rPr>
        <w:t>T</w:t>
      </w:r>
      <w:r w:rsidRPr="00F855CD">
        <w:rPr>
          <w:rFonts w:ascii="Gill Sans MT" w:hAnsi="Gill Sans MT"/>
          <w:lang w:val="en-US"/>
        </w:rPr>
        <w:t xml:space="preserve">he analysis of the </w:t>
      </w:r>
      <w:r w:rsidRPr="00F855CD">
        <w:rPr>
          <w:rFonts w:ascii="Gill Sans MT" w:hAnsi="Gill Sans MT"/>
          <w:b/>
          <w:lang w:val="en-US"/>
        </w:rPr>
        <w:t xml:space="preserve">distribution of the call topics </w:t>
      </w:r>
      <w:r w:rsidRPr="00F855CD">
        <w:rPr>
          <w:rFonts w:ascii="Gill Sans MT" w:hAnsi="Gill Sans MT"/>
          <w:lang w:val="en-US"/>
        </w:rPr>
        <w:t xml:space="preserve">shows that the array of topics covered by the 106 eligible pre-proposals and the 41 proposals that advanced to Step 2 follow a similar distribution, as depicted in Figure </w:t>
      </w:r>
      <w:r>
        <w:rPr>
          <w:rFonts w:ascii="Gill Sans MT" w:hAnsi="Gill Sans MT"/>
          <w:lang w:val="en-US"/>
        </w:rPr>
        <w:t>7</w:t>
      </w:r>
      <w:r w:rsidRPr="00F855CD">
        <w:rPr>
          <w:rFonts w:ascii="Gill Sans MT" w:hAnsi="Gill Sans MT"/>
          <w:lang w:val="en-US"/>
        </w:rPr>
        <w:t xml:space="preserve">. Topic 1 on </w:t>
      </w:r>
      <w:r w:rsidRPr="00F855CD">
        <w:rPr>
          <w:rFonts w:ascii="Gill Sans MT" w:hAnsi="Gill Sans MT"/>
          <w:i/>
          <w:lang w:val="en-US"/>
        </w:rPr>
        <w:t>Water Treatment, Reuse, Recycling and Desalination</w:t>
      </w:r>
      <w:r w:rsidRPr="00F855CD">
        <w:rPr>
          <w:rFonts w:ascii="Gill Sans MT" w:hAnsi="Gill Sans MT"/>
          <w:lang w:val="en-US"/>
        </w:rPr>
        <w:t>, had a large dominance over the other Call topics. Although speculative, the fact The Netherlands limited their funding to proposals covering Topic 3, may have been determinant to increase the participation level in this particular topic. Out of the 20 proposals submitted covering Topic 3, 14 had Dutch partners.</w:t>
      </w:r>
    </w:p>
    <w:p w:rsidR="00F855CD" w:rsidRPr="00F855CD" w:rsidRDefault="00F855CD" w:rsidP="00F855CD">
      <w:pPr>
        <w:spacing w:after="0"/>
        <w:jc w:val="both"/>
        <w:rPr>
          <w:rFonts w:ascii="Gill Sans MT" w:hAnsi="Gill Sans MT"/>
          <w:lang w:val="en-US"/>
        </w:rPr>
      </w:pPr>
    </w:p>
    <w:p w:rsidR="00F855CD" w:rsidRDefault="00F855CD" w:rsidP="00F855CD">
      <w:pPr>
        <w:spacing w:after="0"/>
        <w:jc w:val="center"/>
      </w:pPr>
      <w:r>
        <w:rPr>
          <w:noProof/>
          <w:lang w:val="it-IT" w:eastAsia="it-IT"/>
        </w:rPr>
        <w:drawing>
          <wp:inline distT="0" distB="0" distL="0" distR="0">
            <wp:extent cx="2466975" cy="279082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it-IT" w:eastAsia="it-IT"/>
        </w:rPr>
        <w:drawing>
          <wp:inline distT="0" distB="0" distL="0" distR="0">
            <wp:extent cx="24193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55CD" w:rsidRDefault="00F855CD" w:rsidP="00F855CD">
      <w:pPr>
        <w:spacing w:after="0"/>
        <w:jc w:val="center"/>
      </w:pPr>
      <w:r>
        <w:rPr>
          <w:b/>
          <w:noProof/>
          <w:sz w:val="20"/>
          <w:szCs w:val="20"/>
          <w:lang w:val="it-IT" w:eastAsia="it-IT"/>
        </w:rPr>
        <w:drawing>
          <wp:inline distT="0" distB="0" distL="0" distR="0">
            <wp:extent cx="2428875" cy="391754"/>
            <wp:effectExtent l="0" t="0" r="0" b="8890"/>
            <wp:docPr id="4" name="Picture 5" descr="C:\Users\GSanto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antos\Desktop\Capture.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215" cy="392293"/>
                    </a:xfrm>
                    <a:prstGeom prst="rect">
                      <a:avLst/>
                    </a:prstGeom>
                    <a:noFill/>
                    <a:ln>
                      <a:noFill/>
                    </a:ln>
                  </pic:spPr>
                </pic:pic>
              </a:graphicData>
            </a:graphic>
          </wp:inline>
        </w:drawing>
      </w:r>
    </w:p>
    <w:p w:rsidR="00F855CD" w:rsidRPr="00F855CD" w:rsidRDefault="00F855CD" w:rsidP="00F855CD">
      <w:pPr>
        <w:spacing w:after="0"/>
        <w:jc w:val="both"/>
        <w:rPr>
          <w:rFonts w:ascii="Gill Sans MT" w:hAnsi="Gill Sans MT"/>
          <w:sz w:val="20"/>
          <w:szCs w:val="20"/>
          <w:lang w:val="en-US"/>
        </w:rPr>
      </w:pPr>
      <w:r w:rsidRPr="00F855CD">
        <w:rPr>
          <w:rFonts w:ascii="Gill Sans MT" w:hAnsi="Gill Sans MT"/>
          <w:b/>
          <w:sz w:val="20"/>
          <w:lang w:val="en-US"/>
        </w:rPr>
        <w:t xml:space="preserve">Figure </w:t>
      </w:r>
      <w:r>
        <w:rPr>
          <w:rFonts w:ascii="Gill Sans MT" w:hAnsi="Gill Sans MT"/>
          <w:b/>
          <w:sz w:val="20"/>
          <w:lang w:val="en-US"/>
        </w:rPr>
        <w:t>7</w:t>
      </w:r>
      <w:r w:rsidRPr="00F855CD">
        <w:rPr>
          <w:rFonts w:ascii="Gill Sans MT" w:hAnsi="Gill Sans MT"/>
          <w:sz w:val="20"/>
          <w:lang w:val="en-US"/>
        </w:rPr>
        <w:t xml:space="preserve"> </w:t>
      </w:r>
      <w:r w:rsidRPr="00F855CD">
        <w:rPr>
          <w:rFonts w:ascii="Gill Sans MT" w:hAnsi="Gill Sans MT"/>
          <w:sz w:val="20"/>
          <w:szCs w:val="20"/>
          <w:lang w:val="en-US"/>
        </w:rPr>
        <w:t xml:space="preserve">– Distribution of Call Topics in the group of submitted pre-proposals and in the group of proposals that advanced to Step 2, namely, Research and Innovation for Developing Technological Solutions and Services: </w:t>
      </w:r>
      <w:r w:rsidRPr="00F855CD" w:rsidDel="006E266C">
        <w:rPr>
          <w:rFonts w:ascii="Gill Sans MT" w:hAnsi="Gill Sans MT"/>
          <w:sz w:val="20"/>
          <w:szCs w:val="20"/>
          <w:lang w:val="en-US"/>
        </w:rPr>
        <w:t>T1</w:t>
      </w:r>
      <w:r w:rsidRPr="00F855CD">
        <w:rPr>
          <w:rFonts w:ascii="Gill Sans MT" w:hAnsi="Gill Sans MT"/>
          <w:sz w:val="20"/>
          <w:szCs w:val="20"/>
          <w:lang w:val="en-US"/>
        </w:rPr>
        <w:t>.</w:t>
      </w:r>
      <w:r w:rsidRPr="00F855CD" w:rsidDel="006E266C">
        <w:rPr>
          <w:rFonts w:ascii="Gill Sans MT" w:hAnsi="Gill Sans MT"/>
          <w:sz w:val="20"/>
          <w:szCs w:val="20"/>
          <w:lang w:val="en-US"/>
        </w:rPr>
        <w:t xml:space="preserve"> for Water Treatment, Reuse, Recycling and Desalination;</w:t>
      </w:r>
      <w:r w:rsidRPr="00F855CD">
        <w:rPr>
          <w:rFonts w:ascii="Gill Sans MT" w:hAnsi="Gill Sans MT"/>
          <w:sz w:val="20"/>
          <w:szCs w:val="20"/>
          <w:lang w:val="en-US"/>
        </w:rPr>
        <w:t xml:space="preserve"> </w:t>
      </w:r>
      <w:r w:rsidRPr="00F855CD" w:rsidDel="006E266C">
        <w:rPr>
          <w:rFonts w:ascii="Gill Sans MT" w:hAnsi="Gill Sans MT"/>
          <w:sz w:val="20"/>
          <w:szCs w:val="20"/>
          <w:lang w:val="en-US"/>
        </w:rPr>
        <w:t>T2. for Water Resources Management;</w:t>
      </w:r>
      <w:r w:rsidRPr="00F855CD">
        <w:rPr>
          <w:rFonts w:ascii="Gill Sans MT" w:hAnsi="Gill Sans MT"/>
          <w:sz w:val="20"/>
          <w:szCs w:val="20"/>
          <w:lang w:val="en-US"/>
        </w:rPr>
        <w:t xml:space="preserve"> </w:t>
      </w:r>
      <w:r w:rsidRPr="00F855CD" w:rsidDel="006E266C">
        <w:rPr>
          <w:rFonts w:ascii="Gill Sans MT" w:hAnsi="Gill Sans MT"/>
          <w:sz w:val="20"/>
          <w:szCs w:val="20"/>
          <w:lang w:val="en-US"/>
        </w:rPr>
        <w:t>T3. to Mitigate Impacts of Extreme Events (Floods and Droughts) at Catchment Scale.</w:t>
      </w:r>
    </w:p>
    <w:p w:rsidR="00A26F36" w:rsidRPr="00A748B8" w:rsidRDefault="00A26F36" w:rsidP="00A26F36">
      <w:pPr>
        <w:spacing w:after="0"/>
        <w:jc w:val="both"/>
        <w:rPr>
          <w:rFonts w:ascii="Gill Sans MT" w:hAnsi="Gill Sans MT"/>
          <w:lang w:val="en-US"/>
        </w:rPr>
      </w:pPr>
    </w:p>
    <w:p w:rsidR="003C1DE8" w:rsidRPr="003C1DE8" w:rsidRDefault="00A25520" w:rsidP="002F7D39">
      <w:pPr>
        <w:pStyle w:val="Estilo2"/>
        <w:rPr>
          <w:b w:val="0"/>
          <w:color w:val="auto"/>
          <w:sz w:val="22"/>
        </w:rPr>
      </w:pPr>
      <w:r>
        <w:rPr>
          <w:b w:val="0"/>
          <w:color w:val="auto"/>
          <w:sz w:val="22"/>
        </w:rPr>
        <w:t>Step 2 was concluded on the</w:t>
      </w:r>
      <w:r w:rsidR="003C1DE8" w:rsidRPr="003C1DE8">
        <w:rPr>
          <w:b w:val="0"/>
          <w:color w:val="auto"/>
          <w:sz w:val="22"/>
        </w:rPr>
        <w:t xml:space="preserve"> 29-30 October 2015</w:t>
      </w:r>
      <w:r>
        <w:rPr>
          <w:b w:val="0"/>
          <w:color w:val="auto"/>
          <w:sz w:val="22"/>
        </w:rPr>
        <w:t>. The</w:t>
      </w:r>
      <w:r w:rsidR="003C1DE8" w:rsidRPr="003C1DE8">
        <w:rPr>
          <w:b w:val="0"/>
          <w:color w:val="auto"/>
          <w:sz w:val="22"/>
        </w:rPr>
        <w:t xml:space="preserve"> Evaluation Panel </w:t>
      </w:r>
      <w:r>
        <w:rPr>
          <w:b w:val="0"/>
          <w:color w:val="auto"/>
          <w:sz w:val="22"/>
        </w:rPr>
        <w:t xml:space="preserve">(EP) </w:t>
      </w:r>
      <w:r w:rsidR="003C1DE8" w:rsidRPr="003C1DE8">
        <w:rPr>
          <w:b w:val="0"/>
          <w:color w:val="auto"/>
          <w:sz w:val="22"/>
        </w:rPr>
        <w:t xml:space="preserve">met in Lisbon and reached a final consensus evaluation of all 41 full-proposals. The distribution of total scores among the 41 proposals is depicted in Figure </w:t>
      </w:r>
      <w:r>
        <w:rPr>
          <w:b w:val="0"/>
          <w:color w:val="auto"/>
          <w:sz w:val="22"/>
        </w:rPr>
        <w:t>8</w:t>
      </w:r>
      <w:r w:rsidR="003C1DE8" w:rsidRPr="003C1DE8">
        <w:rPr>
          <w:b w:val="0"/>
          <w:color w:val="auto"/>
          <w:sz w:val="22"/>
        </w:rPr>
        <w:t>.</w:t>
      </w:r>
    </w:p>
    <w:p w:rsidR="002F7D39" w:rsidRPr="003C1DE8" w:rsidRDefault="002F7D39" w:rsidP="002F7D39">
      <w:pPr>
        <w:pStyle w:val="Estilo2"/>
        <w:rPr>
          <w:b w:val="0"/>
          <w:color w:val="auto"/>
          <w:sz w:val="22"/>
        </w:rPr>
      </w:pPr>
    </w:p>
    <w:p w:rsidR="002F7D39" w:rsidRDefault="002F7D39" w:rsidP="002F7D39">
      <w:pPr>
        <w:pStyle w:val="Estilo2"/>
        <w:jc w:val="center"/>
        <w:rPr>
          <w:b w:val="0"/>
          <w:color w:val="auto"/>
          <w:sz w:val="22"/>
        </w:rPr>
      </w:pPr>
      <w:r w:rsidRPr="004E2E70">
        <w:rPr>
          <w:b w:val="0"/>
          <w:noProof/>
          <w:color w:val="auto"/>
          <w:sz w:val="22"/>
          <w:lang w:val="it-IT" w:eastAsia="it-IT"/>
        </w:rPr>
        <w:drawing>
          <wp:inline distT="0" distB="0" distL="0" distR="0">
            <wp:extent cx="4010025" cy="255492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3238" cy="2556974"/>
                    </a:xfrm>
                    <a:prstGeom prst="rect">
                      <a:avLst/>
                    </a:prstGeom>
                    <a:noFill/>
                    <a:ln>
                      <a:noFill/>
                    </a:ln>
                    <a:effectLst/>
                    <a:extLst/>
                  </pic:spPr>
                </pic:pic>
              </a:graphicData>
            </a:graphic>
          </wp:inline>
        </w:drawing>
      </w:r>
    </w:p>
    <w:p w:rsidR="002F7D39" w:rsidRDefault="003C1DE8" w:rsidP="002F7D39">
      <w:pPr>
        <w:pStyle w:val="Estilo2"/>
        <w:rPr>
          <w:b w:val="0"/>
          <w:color w:val="auto"/>
          <w:sz w:val="22"/>
        </w:rPr>
      </w:pPr>
      <w:r>
        <w:rPr>
          <w:color w:val="auto"/>
          <w:sz w:val="20"/>
        </w:rPr>
        <w:t xml:space="preserve">Figure </w:t>
      </w:r>
      <w:r w:rsidR="00A25520">
        <w:rPr>
          <w:color w:val="auto"/>
          <w:sz w:val="20"/>
        </w:rPr>
        <w:t>8</w:t>
      </w:r>
      <w:r w:rsidR="002F7D39">
        <w:rPr>
          <w:color w:val="auto"/>
          <w:sz w:val="20"/>
        </w:rPr>
        <w:t xml:space="preserve"> – </w:t>
      </w:r>
      <w:r w:rsidR="002F7D39">
        <w:rPr>
          <w:b w:val="0"/>
          <w:color w:val="auto"/>
          <w:sz w:val="20"/>
        </w:rPr>
        <w:t>Distribution of total scores among the 41 proposals.</w:t>
      </w:r>
    </w:p>
    <w:p w:rsidR="002F7D39" w:rsidRDefault="002F7D39" w:rsidP="002F7D39">
      <w:pPr>
        <w:pStyle w:val="Estilo2"/>
        <w:rPr>
          <w:b w:val="0"/>
          <w:color w:val="auto"/>
          <w:sz w:val="22"/>
        </w:rPr>
      </w:pPr>
    </w:p>
    <w:p w:rsidR="002F7D39" w:rsidRDefault="002F7D39" w:rsidP="002F7D39">
      <w:pPr>
        <w:pStyle w:val="Estilo2"/>
        <w:rPr>
          <w:b w:val="0"/>
          <w:color w:val="auto"/>
          <w:sz w:val="22"/>
        </w:rPr>
      </w:pPr>
      <w:r>
        <w:rPr>
          <w:b w:val="0"/>
          <w:color w:val="auto"/>
          <w:sz w:val="22"/>
        </w:rPr>
        <w:t xml:space="preserve">In the group of 14 proposals scored 9, 13 ranked equally (scored 3 in all three evaluation criteria). The EP re-examined these 13 proposals, distinguish them and unanimously </w:t>
      </w:r>
      <w:r>
        <w:rPr>
          <w:b w:val="0"/>
          <w:color w:val="auto"/>
          <w:sz w:val="22"/>
        </w:rPr>
        <w:lastRenderedPageBreak/>
        <w:t>recommended for funding 6 proposals ranked in high category. Due to budget limitations, the CSC could only propose 3 proposals within this group</w:t>
      </w:r>
      <w:r w:rsidR="00A25520">
        <w:rPr>
          <w:b w:val="0"/>
          <w:color w:val="auto"/>
          <w:sz w:val="22"/>
        </w:rPr>
        <w:t>.</w:t>
      </w:r>
    </w:p>
    <w:p w:rsidR="002F7D39" w:rsidRDefault="002F7D39" w:rsidP="002F7D39">
      <w:pPr>
        <w:pStyle w:val="Estilo2"/>
        <w:rPr>
          <w:b w:val="0"/>
          <w:color w:val="auto"/>
          <w:sz w:val="22"/>
        </w:rPr>
      </w:pPr>
    </w:p>
    <w:p w:rsidR="002F7D39" w:rsidRDefault="003C1DE8" w:rsidP="002F7D39">
      <w:pPr>
        <w:pStyle w:val="Estilo2"/>
        <w:rPr>
          <w:b w:val="0"/>
          <w:color w:val="auto"/>
          <w:sz w:val="22"/>
        </w:rPr>
      </w:pPr>
      <w:r>
        <w:rPr>
          <w:b w:val="0"/>
          <w:color w:val="auto"/>
          <w:sz w:val="22"/>
        </w:rPr>
        <w:t>The</w:t>
      </w:r>
      <w:r w:rsidR="002F7D39">
        <w:rPr>
          <w:b w:val="0"/>
          <w:color w:val="auto"/>
          <w:sz w:val="22"/>
        </w:rPr>
        <w:t xml:space="preserve"> </w:t>
      </w:r>
      <w:r w:rsidR="002F7D39" w:rsidRPr="0024130A">
        <w:rPr>
          <w:color w:val="auto"/>
          <w:sz w:val="22"/>
        </w:rPr>
        <w:t>shortlist of 16 proposals</w:t>
      </w:r>
      <w:r w:rsidR="002F7D39">
        <w:rPr>
          <w:b w:val="0"/>
          <w:color w:val="auto"/>
          <w:sz w:val="22"/>
        </w:rPr>
        <w:t xml:space="preserve"> </w:t>
      </w:r>
      <w:r w:rsidR="00A25520">
        <w:rPr>
          <w:b w:val="0"/>
          <w:color w:val="auto"/>
          <w:sz w:val="22"/>
        </w:rPr>
        <w:t>selected</w:t>
      </w:r>
      <w:r w:rsidR="002F7D39">
        <w:rPr>
          <w:b w:val="0"/>
          <w:color w:val="auto"/>
          <w:sz w:val="22"/>
        </w:rPr>
        <w:t xml:space="preserve"> fo</w:t>
      </w:r>
      <w:r w:rsidR="00A25520">
        <w:rPr>
          <w:b w:val="0"/>
          <w:color w:val="auto"/>
          <w:sz w:val="22"/>
        </w:rPr>
        <w:t>r funding by the CSC, represents</w:t>
      </w:r>
      <w:r w:rsidR="002F7D39">
        <w:rPr>
          <w:b w:val="0"/>
          <w:color w:val="auto"/>
          <w:sz w:val="22"/>
        </w:rPr>
        <w:t xml:space="preserve"> about 39% of the 41 full proposals submitted in this Step. The distribution of topics among the</w:t>
      </w:r>
      <w:r>
        <w:rPr>
          <w:b w:val="0"/>
          <w:color w:val="auto"/>
          <w:sz w:val="22"/>
        </w:rPr>
        <w:t>se</w:t>
      </w:r>
      <w:r w:rsidR="002F7D39">
        <w:rPr>
          <w:b w:val="0"/>
          <w:color w:val="auto"/>
          <w:sz w:val="22"/>
        </w:rPr>
        <w:t xml:space="preserve"> 16 proposals is described in Figure </w:t>
      </w:r>
      <w:r w:rsidR="00A25520">
        <w:rPr>
          <w:b w:val="0"/>
          <w:color w:val="auto"/>
          <w:sz w:val="22"/>
        </w:rPr>
        <w:t>9</w:t>
      </w:r>
      <w:r w:rsidR="00F9373D">
        <w:rPr>
          <w:b w:val="0"/>
          <w:color w:val="auto"/>
          <w:sz w:val="22"/>
        </w:rPr>
        <w:t xml:space="preserve">. </w:t>
      </w:r>
      <w:r w:rsidR="002F7D39">
        <w:rPr>
          <w:b w:val="0"/>
          <w:color w:val="auto"/>
          <w:sz w:val="22"/>
        </w:rPr>
        <w:t>It is interesting to observe the balanced distribution of topics among the proposals recommended for funding.</w:t>
      </w:r>
    </w:p>
    <w:p w:rsidR="002F7D39" w:rsidRDefault="002F7D39" w:rsidP="002F7D39">
      <w:pPr>
        <w:pStyle w:val="Estilo2"/>
        <w:rPr>
          <w:b w:val="0"/>
          <w:color w:val="auto"/>
          <w:sz w:val="22"/>
        </w:rPr>
      </w:pPr>
    </w:p>
    <w:p w:rsidR="002F7D39" w:rsidRDefault="002F7D39" w:rsidP="00F9373D">
      <w:pPr>
        <w:pStyle w:val="Estilo2"/>
        <w:jc w:val="center"/>
        <w:rPr>
          <w:b w:val="0"/>
          <w:color w:val="auto"/>
          <w:sz w:val="22"/>
        </w:rPr>
      </w:pPr>
      <w:r w:rsidRPr="008752AC">
        <w:rPr>
          <w:b w:val="0"/>
          <w:noProof/>
          <w:color w:val="auto"/>
          <w:sz w:val="22"/>
          <w:lang w:val="it-IT" w:eastAsia="it-IT"/>
        </w:rPr>
        <w:drawing>
          <wp:inline distT="0" distB="0" distL="0" distR="0">
            <wp:extent cx="2647950" cy="17335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7D39" w:rsidRDefault="002F7D39" w:rsidP="002F7D39">
      <w:pPr>
        <w:pStyle w:val="Estilo2"/>
        <w:rPr>
          <w:b w:val="0"/>
          <w:color w:val="auto"/>
          <w:sz w:val="22"/>
        </w:rPr>
      </w:pPr>
      <w:r>
        <w:rPr>
          <w:color w:val="auto"/>
          <w:sz w:val="20"/>
        </w:rPr>
        <w:t xml:space="preserve">Figure </w:t>
      </w:r>
      <w:r w:rsidR="00A25520">
        <w:rPr>
          <w:color w:val="auto"/>
          <w:sz w:val="20"/>
        </w:rPr>
        <w:t>9</w:t>
      </w:r>
      <w:r>
        <w:rPr>
          <w:color w:val="auto"/>
          <w:sz w:val="20"/>
        </w:rPr>
        <w:t xml:space="preserve"> – </w:t>
      </w:r>
      <w:r>
        <w:rPr>
          <w:b w:val="0"/>
          <w:color w:val="auto"/>
          <w:sz w:val="20"/>
        </w:rPr>
        <w:t>Distribution of topics among the 41 proposals selected for the second step (left). Distribution of topics among the 16 shortlisted proposals recommended for funding (right).</w:t>
      </w:r>
    </w:p>
    <w:p w:rsidR="002F7D39" w:rsidRDefault="002F7D39" w:rsidP="002F7D39">
      <w:pPr>
        <w:pStyle w:val="Estilo2"/>
        <w:rPr>
          <w:b w:val="0"/>
          <w:color w:val="auto"/>
          <w:sz w:val="22"/>
        </w:rPr>
      </w:pPr>
    </w:p>
    <w:p w:rsidR="002F7D39" w:rsidRDefault="002F7D39" w:rsidP="002F7D39">
      <w:pPr>
        <w:pStyle w:val="Estilo2"/>
        <w:rPr>
          <w:b w:val="0"/>
          <w:color w:val="auto"/>
          <w:sz w:val="22"/>
        </w:rPr>
      </w:pPr>
      <w:r>
        <w:rPr>
          <w:b w:val="0"/>
          <w:color w:val="auto"/>
          <w:sz w:val="22"/>
        </w:rPr>
        <w:t xml:space="preserve">In Table </w:t>
      </w:r>
      <w:r w:rsidR="00A25520">
        <w:rPr>
          <w:b w:val="0"/>
          <w:color w:val="auto"/>
          <w:sz w:val="22"/>
        </w:rPr>
        <w:t>2</w:t>
      </w:r>
      <w:r>
        <w:rPr>
          <w:b w:val="0"/>
          <w:color w:val="auto"/>
          <w:sz w:val="22"/>
        </w:rPr>
        <w:t xml:space="preserve"> </w:t>
      </w:r>
      <w:r w:rsidR="00A25520">
        <w:rPr>
          <w:b w:val="0"/>
          <w:color w:val="auto"/>
          <w:sz w:val="22"/>
        </w:rPr>
        <w:t>is presented</w:t>
      </w:r>
      <w:r>
        <w:rPr>
          <w:b w:val="0"/>
          <w:color w:val="auto"/>
          <w:sz w:val="22"/>
        </w:rPr>
        <w:t xml:space="preserve"> a summary of the W</w:t>
      </w:r>
      <w:r w:rsidR="00A25520">
        <w:rPr>
          <w:b w:val="0"/>
          <w:color w:val="auto"/>
          <w:sz w:val="22"/>
        </w:rPr>
        <w:t>ater</w:t>
      </w:r>
      <w:r>
        <w:rPr>
          <w:b w:val="0"/>
          <w:color w:val="auto"/>
          <w:sz w:val="22"/>
        </w:rPr>
        <w:t>W</w:t>
      </w:r>
      <w:r w:rsidR="00A25520">
        <w:rPr>
          <w:b w:val="0"/>
          <w:color w:val="auto"/>
          <w:sz w:val="22"/>
        </w:rPr>
        <w:t>orks</w:t>
      </w:r>
      <w:r>
        <w:rPr>
          <w:b w:val="0"/>
          <w:color w:val="auto"/>
          <w:sz w:val="22"/>
        </w:rPr>
        <w:t>2014 Evaluation Process, specifically, the number of pre and full proposals submitted per country, and the distribution of the proposals recommended for funding.</w:t>
      </w:r>
    </w:p>
    <w:p w:rsidR="002F7D39" w:rsidRDefault="002F7D39" w:rsidP="002F7D39">
      <w:pPr>
        <w:pStyle w:val="Estilo2"/>
        <w:rPr>
          <w:b w:val="0"/>
          <w:color w:val="auto"/>
          <w:sz w:val="22"/>
        </w:rPr>
      </w:pPr>
    </w:p>
    <w:p w:rsidR="002F7D39" w:rsidRPr="003C1DE8" w:rsidRDefault="002F7D39" w:rsidP="002F7D39">
      <w:pPr>
        <w:pStyle w:val="Estilo2"/>
        <w:rPr>
          <w:b w:val="0"/>
          <w:color w:val="auto"/>
          <w:sz w:val="20"/>
          <w:szCs w:val="20"/>
        </w:rPr>
      </w:pPr>
      <w:r w:rsidRPr="0061657F">
        <w:rPr>
          <w:color w:val="auto"/>
          <w:sz w:val="20"/>
          <w:szCs w:val="20"/>
        </w:rPr>
        <w:t xml:space="preserve">Table </w:t>
      </w:r>
      <w:r w:rsidR="0061657F" w:rsidRPr="0061657F">
        <w:rPr>
          <w:color w:val="auto"/>
          <w:sz w:val="20"/>
          <w:szCs w:val="20"/>
        </w:rPr>
        <w:t>2</w:t>
      </w:r>
      <w:r w:rsidRPr="003C1DE8">
        <w:rPr>
          <w:b w:val="0"/>
          <w:color w:val="auto"/>
          <w:sz w:val="20"/>
          <w:szCs w:val="20"/>
        </w:rPr>
        <w:t xml:space="preserve"> – Summary of the evaluation process of the WaterWorks 2014 Cofunded Call. The last row of the Table includes average percentages based on the number of countries involved (15 countries).</w:t>
      </w:r>
    </w:p>
    <w:p w:rsidR="002F7D39" w:rsidRDefault="002F7D39" w:rsidP="002F7D39">
      <w:pPr>
        <w:pStyle w:val="Estilo2"/>
        <w:rPr>
          <w:b w:val="0"/>
          <w:color w:val="auto"/>
          <w:sz w:val="22"/>
        </w:rPr>
      </w:pPr>
      <w:r w:rsidRPr="007117D8">
        <w:rPr>
          <w:b w:val="0"/>
          <w:noProof/>
          <w:color w:val="auto"/>
          <w:sz w:val="22"/>
          <w:lang w:val="it-IT" w:eastAsia="it-IT"/>
        </w:rPr>
        <w:drawing>
          <wp:inline distT="0" distB="0" distL="0" distR="0">
            <wp:extent cx="5284381" cy="2930979"/>
            <wp:effectExtent l="0" t="0" r="0" b="3175"/>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223" cy="2933665"/>
                    </a:xfrm>
                    <a:prstGeom prst="rect">
                      <a:avLst/>
                    </a:prstGeom>
                    <a:noFill/>
                    <a:ln>
                      <a:noFill/>
                    </a:ln>
                    <a:effectLst/>
                    <a:extLst/>
                  </pic:spPr>
                </pic:pic>
              </a:graphicData>
            </a:graphic>
          </wp:inline>
        </w:drawing>
      </w:r>
    </w:p>
    <w:p w:rsidR="00F855CD" w:rsidRPr="0038413B" w:rsidRDefault="002F7D39" w:rsidP="003836A3">
      <w:pPr>
        <w:pStyle w:val="Estilo2"/>
        <w:rPr>
          <w:color w:val="auto"/>
          <w:sz w:val="22"/>
        </w:rPr>
      </w:pPr>
      <w:r>
        <w:rPr>
          <w:b w:val="0"/>
          <w:color w:val="auto"/>
          <w:sz w:val="22"/>
        </w:rPr>
        <w:lastRenderedPageBreak/>
        <w:t xml:space="preserve">One can observe that all partner countries are presented in the top 16 shortlisted proposals recommended for funding. </w:t>
      </w:r>
      <w:r w:rsidRPr="00082366">
        <w:rPr>
          <w:b w:val="0"/>
          <w:color w:val="auto"/>
          <w:sz w:val="22"/>
        </w:rPr>
        <w:t>Considering the total number of proposals submitted to the WW2014 Call (106), we h</w:t>
      </w:r>
      <w:r>
        <w:rPr>
          <w:b w:val="0"/>
          <w:color w:val="auto"/>
          <w:sz w:val="22"/>
        </w:rPr>
        <w:t xml:space="preserve">ave a </w:t>
      </w:r>
      <w:r w:rsidRPr="003C1DE8">
        <w:rPr>
          <w:color w:val="auto"/>
          <w:sz w:val="22"/>
        </w:rPr>
        <w:t>success rate of about 15%.</w:t>
      </w:r>
      <w:r w:rsidR="0038413B">
        <w:rPr>
          <w:color w:val="auto"/>
          <w:sz w:val="22"/>
        </w:rPr>
        <w:t xml:space="preserve"> </w:t>
      </w:r>
      <w:r w:rsidR="003C1DE8">
        <w:rPr>
          <w:b w:val="0"/>
          <w:color w:val="auto"/>
          <w:sz w:val="22"/>
          <w:lang w:val="en-US"/>
        </w:rPr>
        <w:t xml:space="preserve">The </w:t>
      </w:r>
      <w:r w:rsidR="003C1DE8" w:rsidRPr="0038413B">
        <w:rPr>
          <w:color w:val="auto"/>
          <w:sz w:val="22"/>
          <w:lang w:val="en-US"/>
        </w:rPr>
        <w:t>total funding invested in the projects amount</w:t>
      </w:r>
      <w:r w:rsidR="0038413B" w:rsidRPr="0038413B">
        <w:rPr>
          <w:color w:val="auto"/>
          <w:sz w:val="22"/>
          <w:lang w:val="en-US"/>
        </w:rPr>
        <w:t>s</w:t>
      </w:r>
      <w:r w:rsidR="003C1DE8" w:rsidRPr="0038413B">
        <w:rPr>
          <w:color w:val="auto"/>
          <w:sz w:val="22"/>
          <w:lang w:val="en-US"/>
        </w:rPr>
        <w:t xml:space="preserve"> to </w:t>
      </w:r>
      <w:r w:rsidR="00641F67">
        <w:rPr>
          <w:color w:val="auto"/>
          <w:sz w:val="22"/>
          <w:lang w:val="en-US"/>
        </w:rPr>
        <w:t>€</w:t>
      </w:r>
      <w:r w:rsidR="00641F67" w:rsidRPr="00641F67">
        <w:rPr>
          <w:color w:val="auto"/>
          <w:sz w:val="22"/>
          <w:lang w:val="en-US"/>
        </w:rPr>
        <w:t>13.979.751</w:t>
      </w:r>
      <w:r w:rsidR="003C1DE8" w:rsidRPr="00641F67">
        <w:rPr>
          <w:b w:val="0"/>
          <w:color w:val="auto"/>
          <w:sz w:val="22"/>
          <w:lang w:val="en-US"/>
        </w:rPr>
        <w:t>,</w:t>
      </w:r>
      <w:r w:rsidR="003C1DE8" w:rsidRPr="0038413B">
        <w:rPr>
          <w:color w:val="auto"/>
          <w:sz w:val="22"/>
          <w:lang w:val="en-US"/>
        </w:rPr>
        <w:t xml:space="preserve"> </w:t>
      </w:r>
      <w:r w:rsidR="003C1DE8">
        <w:rPr>
          <w:b w:val="0"/>
          <w:color w:val="auto"/>
          <w:sz w:val="22"/>
          <w:lang w:val="en-US"/>
        </w:rPr>
        <w:t xml:space="preserve">including the EC contribution. </w:t>
      </w:r>
      <w:r w:rsidR="003C1DE8" w:rsidRPr="003C1DE8">
        <w:rPr>
          <w:b w:val="0"/>
          <w:color w:val="auto"/>
          <w:sz w:val="22"/>
          <w:lang w:val="en-US"/>
        </w:rPr>
        <w:t>The efforts made by the funding partners participating in this call guaranteed the maximisation of the allocated EC fund</w:t>
      </w:r>
      <w:r w:rsidR="0038413B">
        <w:rPr>
          <w:b w:val="0"/>
          <w:color w:val="auto"/>
          <w:sz w:val="22"/>
          <w:lang w:val="en-US"/>
        </w:rPr>
        <w:t>s (</w:t>
      </w:r>
      <w:r w:rsidR="003836A3">
        <w:rPr>
          <w:b w:val="0"/>
          <w:color w:val="auto"/>
          <w:sz w:val="22"/>
          <w:lang w:val="en-US"/>
        </w:rPr>
        <w:t>ca. 4.</w:t>
      </w:r>
      <w:r w:rsidR="00641F67">
        <w:rPr>
          <w:b w:val="0"/>
          <w:color w:val="auto"/>
          <w:sz w:val="22"/>
          <w:lang w:val="en-US"/>
        </w:rPr>
        <w:t>6</w:t>
      </w:r>
      <w:r w:rsidR="003836A3">
        <w:rPr>
          <w:b w:val="0"/>
          <w:color w:val="auto"/>
          <w:sz w:val="22"/>
          <w:lang w:val="en-US"/>
        </w:rPr>
        <w:t xml:space="preserve"> M€</w:t>
      </w:r>
      <w:r w:rsidR="0038413B">
        <w:rPr>
          <w:b w:val="0"/>
          <w:color w:val="auto"/>
          <w:sz w:val="22"/>
          <w:lang w:val="en-US"/>
        </w:rPr>
        <w:t>)</w:t>
      </w:r>
      <w:r w:rsidR="003836A3">
        <w:rPr>
          <w:b w:val="0"/>
          <w:color w:val="auto"/>
          <w:sz w:val="22"/>
          <w:lang w:val="en-US"/>
        </w:rPr>
        <w:t>.</w:t>
      </w:r>
    </w:p>
    <w:sectPr w:rsidR="00F855CD" w:rsidRPr="0038413B" w:rsidSect="004F29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compat/>
  <w:rsids>
    <w:rsidRoot w:val="006F788F"/>
    <w:rsid w:val="0000429C"/>
    <w:rsid w:val="000751DC"/>
    <w:rsid w:val="0010330C"/>
    <w:rsid w:val="002643F1"/>
    <w:rsid w:val="00297AE6"/>
    <w:rsid w:val="002F7D39"/>
    <w:rsid w:val="00365414"/>
    <w:rsid w:val="0038244A"/>
    <w:rsid w:val="003836A3"/>
    <w:rsid w:val="0038413B"/>
    <w:rsid w:val="003C1DE8"/>
    <w:rsid w:val="0041333F"/>
    <w:rsid w:val="004E0FC9"/>
    <w:rsid w:val="004F2931"/>
    <w:rsid w:val="005D7E46"/>
    <w:rsid w:val="00607EC8"/>
    <w:rsid w:val="0061657F"/>
    <w:rsid w:val="00641F67"/>
    <w:rsid w:val="00681A9E"/>
    <w:rsid w:val="0069088C"/>
    <w:rsid w:val="006F788F"/>
    <w:rsid w:val="007325CD"/>
    <w:rsid w:val="00751B09"/>
    <w:rsid w:val="00781A64"/>
    <w:rsid w:val="007E5AAA"/>
    <w:rsid w:val="00826F43"/>
    <w:rsid w:val="00857CF3"/>
    <w:rsid w:val="009619CE"/>
    <w:rsid w:val="00A25520"/>
    <w:rsid w:val="00A26F36"/>
    <w:rsid w:val="00A61DBC"/>
    <w:rsid w:val="00A748B8"/>
    <w:rsid w:val="00BE7CE1"/>
    <w:rsid w:val="00C140B0"/>
    <w:rsid w:val="00C32205"/>
    <w:rsid w:val="00C63EE4"/>
    <w:rsid w:val="00CA6047"/>
    <w:rsid w:val="00F855CD"/>
    <w:rsid w:val="00F9373D"/>
    <w:rsid w:val="00FD12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9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25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5CD"/>
    <w:rPr>
      <w:rFonts w:ascii="Tahoma" w:hAnsi="Tahoma" w:cs="Tahoma"/>
      <w:sz w:val="16"/>
      <w:szCs w:val="16"/>
    </w:rPr>
  </w:style>
  <w:style w:type="paragraph" w:customStyle="1" w:styleId="Estilo2">
    <w:name w:val="Estilo2"/>
    <w:basedOn w:val="Normale"/>
    <w:qFormat/>
    <w:rsid w:val="002F7D39"/>
    <w:pPr>
      <w:spacing w:after="120"/>
      <w:jc w:val="both"/>
    </w:pPr>
    <w:rPr>
      <w:rFonts w:ascii="Gill Sans MT" w:hAnsi="Gill Sans MT" w:cs="Arial"/>
      <w:b/>
      <w:color w:val="4F81BD" w:themeColor="accent1"/>
      <w:sz w:val="24"/>
      <w:lang w:val="en-GB"/>
    </w:rPr>
  </w:style>
  <w:style w:type="paragraph" w:styleId="NormaleWeb">
    <w:name w:val="Normal (Web)"/>
    <w:basedOn w:val="Normale"/>
    <w:uiPriority w:val="99"/>
    <w:semiHidden/>
    <w:unhideWhenUsed/>
    <w:rsid w:val="002F7D39"/>
    <w:pPr>
      <w:spacing w:before="100" w:beforeAutospacing="1" w:after="100" w:afterAutospacing="1" w:line="240" w:lineRule="auto"/>
    </w:pPr>
    <w:rPr>
      <w:rFonts w:ascii="Times New Roman" w:eastAsiaTheme="minorEastAsia" w:hAnsi="Times New Roman" w:cs="Times New Roman"/>
      <w:sz w:val="24"/>
      <w:szCs w:val="24"/>
      <w:lang w:eastAsia="pt-PT"/>
    </w:rPr>
  </w:style>
  <w:style w:type="character" w:styleId="Rimandocommento">
    <w:name w:val="annotation reference"/>
    <w:basedOn w:val="Carpredefinitoparagrafo"/>
    <w:uiPriority w:val="99"/>
    <w:semiHidden/>
    <w:unhideWhenUsed/>
    <w:rsid w:val="00641F67"/>
    <w:rPr>
      <w:sz w:val="16"/>
      <w:szCs w:val="16"/>
    </w:rPr>
  </w:style>
  <w:style w:type="paragraph" w:styleId="Testocommento">
    <w:name w:val="annotation text"/>
    <w:basedOn w:val="Normale"/>
    <w:link w:val="TestocommentoCarattere"/>
    <w:uiPriority w:val="99"/>
    <w:semiHidden/>
    <w:unhideWhenUsed/>
    <w:rsid w:val="00641F6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1F67"/>
    <w:rPr>
      <w:sz w:val="20"/>
      <w:szCs w:val="20"/>
    </w:rPr>
  </w:style>
  <w:style w:type="paragraph" w:styleId="Soggettocommento">
    <w:name w:val="annotation subject"/>
    <w:basedOn w:val="Testocommento"/>
    <w:next w:val="Testocommento"/>
    <w:link w:val="SoggettocommentoCarattere"/>
    <w:uiPriority w:val="99"/>
    <w:semiHidden/>
    <w:unhideWhenUsed/>
    <w:rsid w:val="00641F67"/>
    <w:rPr>
      <w:b/>
      <w:bCs/>
    </w:rPr>
  </w:style>
  <w:style w:type="character" w:customStyle="1" w:styleId="SoggettocommentoCarattere">
    <w:name w:val="Soggetto commento Carattere"/>
    <w:basedOn w:val="TestocommentoCarattere"/>
    <w:link w:val="Soggettocommento"/>
    <w:uiPriority w:val="99"/>
    <w:semiHidden/>
    <w:rsid w:val="00641F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325C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325CD"/>
    <w:rPr>
      <w:rFonts w:ascii="Tahoma" w:hAnsi="Tahoma" w:cs="Tahoma"/>
      <w:sz w:val="16"/>
      <w:szCs w:val="16"/>
    </w:rPr>
  </w:style>
  <w:style w:type="paragraph" w:customStyle="1" w:styleId="Estilo2">
    <w:name w:val="Estilo2"/>
    <w:basedOn w:val="Normal"/>
    <w:qFormat/>
    <w:rsid w:val="002F7D39"/>
    <w:pPr>
      <w:spacing w:after="120"/>
      <w:jc w:val="both"/>
    </w:pPr>
    <w:rPr>
      <w:rFonts w:ascii="Gill Sans MT" w:hAnsi="Gill Sans MT" w:cs="Arial"/>
      <w:b/>
      <w:color w:val="4F81BD" w:themeColor="accent1"/>
      <w:sz w:val="24"/>
      <w:lang w:val="en-GB"/>
    </w:rPr>
  </w:style>
  <w:style w:type="paragraph" w:styleId="NormalWeb">
    <w:name w:val="Normal (Web)"/>
    <w:basedOn w:val="Normal"/>
    <w:uiPriority w:val="99"/>
    <w:semiHidden/>
    <w:unhideWhenUsed/>
    <w:rsid w:val="002F7D39"/>
    <w:pPr>
      <w:spacing w:before="100" w:beforeAutospacing="1" w:after="100" w:afterAutospacing="1" w:line="240" w:lineRule="auto"/>
    </w:pPr>
    <w:rPr>
      <w:rFonts w:ascii="Times New Roman" w:eastAsiaTheme="minorEastAsia" w:hAnsi="Times New Roman" w:cs="Times New Roman"/>
      <w:sz w:val="24"/>
      <w:szCs w:val="24"/>
      <w:lang w:eastAsia="pt-PT"/>
    </w:rPr>
  </w:style>
  <w:style w:type="character" w:styleId="Refdecomentrio">
    <w:name w:val="annotation reference"/>
    <w:basedOn w:val="Tipodeletrapredefinidodopargrafo"/>
    <w:uiPriority w:val="99"/>
    <w:semiHidden/>
    <w:unhideWhenUsed/>
    <w:rsid w:val="00641F67"/>
    <w:rPr>
      <w:sz w:val="16"/>
      <w:szCs w:val="16"/>
    </w:rPr>
  </w:style>
  <w:style w:type="paragraph" w:styleId="Textodecomentrio">
    <w:name w:val="annotation text"/>
    <w:basedOn w:val="Normal"/>
    <w:link w:val="TextodecomentrioCarcter"/>
    <w:uiPriority w:val="99"/>
    <w:semiHidden/>
    <w:unhideWhenUsed/>
    <w:rsid w:val="00641F6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41F67"/>
    <w:rPr>
      <w:sz w:val="20"/>
      <w:szCs w:val="20"/>
    </w:rPr>
  </w:style>
  <w:style w:type="paragraph" w:styleId="Assuntodecomentrio">
    <w:name w:val="annotation subject"/>
    <w:basedOn w:val="Textodecomentrio"/>
    <w:next w:val="Textodecomentrio"/>
    <w:link w:val="AssuntodecomentrioCarcter"/>
    <w:uiPriority w:val="99"/>
    <w:semiHidden/>
    <w:unhideWhenUsed/>
    <w:rsid w:val="00641F67"/>
    <w:rPr>
      <w:b/>
      <w:bCs/>
    </w:rPr>
  </w:style>
  <w:style w:type="character" w:customStyle="1" w:styleId="AssuntodecomentrioCarcter">
    <w:name w:val="Assunto de comentário Carácter"/>
    <w:basedOn w:val="TextodecomentrioCarcter"/>
    <w:link w:val="Assuntodecomentrio"/>
    <w:uiPriority w:val="99"/>
    <w:semiHidden/>
    <w:rsid w:val="00641F67"/>
    <w:rPr>
      <w:b/>
      <w:bCs/>
      <w:sz w:val="20"/>
      <w:szCs w:val="20"/>
    </w:rPr>
  </w:style>
</w:styles>
</file>

<file path=word/webSettings.xml><?xml version="1.0" encoding="utf-8"?>
<w:webSettings xmlns:r="http://schemas.openxmlformats.org/officeDocument/2006/relationships" xmlns:w="http://schemas.openxmlformats.org/wordprocessingml/2006/main">
  <w:divs>
    <w:div w:id="225262459">
      <w:bodyDiv w:val="1"/>
      <w:marLeft w:val="0"/>
      <w:marRight w:val="0"/>
      <w:marTop w:val="0"/>
      <w:marBottom w:val="0"/>
      <w:divBdr>
        <w:top w:val="none" w:sz="0" w:space="0" w:color="auto"/>
        <w:left w:val="none" w:sz="0" w:space="0" w:color="auto"/>
        <w:bottom w:val="none" w:sz="0" w:space="0" w:color="auto"/>
        <w:right w:val="none" w:sz="0" w:space="0" w:color="auto"/>
      </w:divBdr>
      <w:divsChild>
        <w:div w:id="159200984">
          <w:marLeft w:val="0"/>
          <w:marRight w:val="0"/>
          <w:marTop w:val="0"/>
          <w:marBottom w:val="0"/>
          <w:divBdr>
            <w:top w:val="none" w:sz="0" w:space="0" w:color="auto"/>
            <w:left w:val="none" w:sz="0" w:space="0" w:color="auto"/>
            <w:bottom w:val="none" w:sz="0" w:space="0" w:color="auto"/>
            <w:right w:val="none" w:sz="0" w:space="0" w:color="auto"/>
          </w:divBdr>
          <w:divsChild>
            <w:div w:id="1428114581">
              <w:marLeft w:val="0"/>
              <w:marRight w:val="0"/>
              <w:marTop w:val="0"/>
              <w:marBottom w:val="0"/>
              <w:divBdr>
                <w:top w:val="none" w:sz="0" w:space="0" w:color="auto"/>
                <w:left w:val="none" w:sz="0" w:space="0" w:color="auto"/>
                <w:bottom w:val="none" w:sz="0" w:space="0" w:color="auto"/>
                <w:right w:val="none" w:sz="0" w:space="0" w:color="auto"/>
              </w:divBdr>
              <w:divsChild>
                <w:div w:id="328488611">
                  <w:marLeft w:val="0"/>
                  <w:marRight w:val="0"/>
                  <w:marTop w:val="0"/>
                  <w:marBottom w:val="0"/>
                  <w:divBdr>
                    <w:top w:val="none" w:sz="0" w:space="0" w:color="auto"/>
                    <w:left w:val="none" w:sz="0" w:space="0" w:color="auto"/>
                    <w:bottom w:val="none" w:sz="0" w:space="0" w:color="auto"/>
                    <w:right w:val="none" w:sz="0" w:space="0" w:color="auto"/>
                  </w:divBdr>
                  <w:divsChild>
                    <w:div w:id="2010711351">
                      <w:marLeft w:val="0"/>
                      <w:marRight w:val="0"/>
                      <w:marTop w:val="0"/>
                      <w:marBottom w:val="0"/>
                      <w:divBdr>
                        <w:top w:val="none" w:sz="0" w:space="0" w:color="auto"/>
                        <w:left w:val="none" w:sz="0" w:space="0" w:color="auto"/>
                        <w:bottom w:val="none" w:sz="0" w:space="0" w:color="auto"/>
                        <w:right w:val="none" w:sz="0" w:space="0" w:color="auto"/>
                      </w:divBdr>
                      <w:divsChild>
                        <w:div w:id="894318235">
                          <w:marLeft w:val="0"/>
                          <w:marRight w:val="0"/>
                          <w:marTop w:val="0"/>
                          <w:marBottom w:val="0"/>
                          <w:divBdr>
                            <w:top w:val="none" w:sz="0" w:space="0" w:color="auto"/>
                            <w:left w:val="none" w:sz="0" w:space="0" w:color="auto"/>
                            <w:bottom w:val="none" w:sz="0" w:space="0" w:color="auto"/>
                            <w:right w:val="none" w:sz="0" w:space="0" w:color="auto"/>
                          </w:divBdr>
                          <w:divsChild>
                            <w:div w:id="13450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4533">
      <w:bodyDiv w:val="1"/>
      <w:marLeft w:val="0"/>
      <w:marRight w:val="0"/>
      <w:marTop w:val="0"/>
      <w:marBottom w:val="0"/>
      <w:divBdr>
        <w:top w:val="none" w:sz="0" w:space="0" w:color="auto"/>
        <w:left w:val="none" w:sz="0" w:space="0" w:color="auto"/>
        <w:bottom w:val="none" w:sz="0" w:space="0" w:color="auto"/>
        <w:right w:val="none" w:sz="0" w:space="0" w:color="auto"/>
      </w:divBdr>
    </w:div>
    <w:div w:id="1507406007">
      <w:bodyDiv w:val="1"/>
      <w:marLeft w:val="0"/>
      <w:marRight w:val="0"/>
      <w:marTop w:val="0"/>
      <w:marBottom w:val="0"/>
      <w:divBdr>
        <w:top w:val="none" w:sz="0" w:space="0" w:color="auto"/>
        <w:left w:val="none" w:sz="0" w:space="0" w:color="auto"/>
        <w:bottom w:val="none" w:sz="0" w:space="0" w:color="auto"/>
        <w:right w:val="none" w:sz="0" w:space="0" w:color="auto"/>
      </w:divBdr>
    </w:div>
    <w:div w:id="1841774850">
      <w:bodyDiv w:val="1"/>
      <w:marLeft w:val="0"/>
      <w:marRight w:val="0"/>
      <w:marTop w:val="0"/>
      <w:marBottom w:val="0"/>
      <w:divBdr>
        <w:top w:val="none" w:sz="0" w:space="0" w:color="auto"/>
        <w:left w:val="none" w:sz="0" w:space="0" w:color="auto"/>
        <w:bottom w:val="none" w:sz="0" w:space="0" w:color="auto"/>
        <w:right w:val="none" w:sz="0" w:space="0" w:color="auto"/>
      </w:divBdr>
      <w:divsChild>
        <w:div w:id="367292397">
          <w:marLeft w:val="0"/>
          <w:marRight w:val="0"/>
          <w:marTop w:val="0"/>
          <w:marBottom w:val="0"/>
          <w:divBdr>
            <w:top w:val="none" w:sz="0" w:space="0" w:color="auto"/>
            <w:left w:val="none" w:sz="0" w:space="0" w:color="auto"/>
            <w:bottom w:val="none" w:sz="0" w:space="0" w:color="auto"/>
            <w:right w:val="none" w:sz="0" w:space="0" w:color="auto"/>
          </w:divBdr>
          <w:divsChild>
            <w:div w:id="941105338">
              <w:marLeft w:val="0"/>
              <w:marRight w:val="0"/>
              <w:marTop w:val="0"/>
              <w:marBottom w:val="0"/>
              <w:divBdr>
                <w:top w:val="none" w:sz="0" w:space="0" w:color="auto"/>
                <w:left w:val="none" w:sz="0" w:space="0" w:color="auto"/>
                <w:bottom w:val="none" w:sz="0" w:space="0" w:color="auto"/>
                <w:right w:val="none" w:sz="0" w:space="0" w:color="auto"/>
              </w:divBdr>
              <w:divsChild>
                <w:div w:id="1612975243">
                  <w:marLeft w:val="0"/>
                  <w:marRight w:val="0"/>
                  <w:marTop w:val="0"/>
                  <w:marBottom w:val="0"/>
                  <w:divBdr>
                    <w:top w:val="none" w:sz="0" w:space="0" w:color="auto"/>
                    <w:left w:val="none" w:sz="0" w:space="0" w:color="auto"/>
                    <w:bottom w:val="none" w:sz="0" w:space="0" w:color="auto"/>
                    <w:right w:val="none" w:sz="0" w:space="0" w:color="auto"/>
                  </w:divBdr>
                  <w:divsChild>
                    <w:div w:id="415909161">
                      <w:marLeft w:val="0"/>
                      <w:marRight w:val="0"/>
                      <w:marTop w:val="0"/>
                      <w:marBottom w:val="0"/>
                      <w:divBdr>
                        <w:top w:val="none" w:sz="0" w:space="0" w:color="auto"/>
                        <w:left w:val="none" w:sz="0" w:space="0" w:color="auto"/>
                        <w:bottom w:val="none" w:sz="0" w:space="0" w:color="auto"/>
                        <w:right w:val="none" w:sz="0" w:space="0" w:color="auto"/>
                      </w:divBdr>
                      <w:divsChild>
                        <w:div w:id="2000038312">
                          <w:marLeft w:val="0"/>
                          <w:marRight w:val="0"/>
                          <w:marTop w:val="0"/>
                          <w:marBottom w:val="0"/>
                          <w:divBdr>
                            <w:top w:val="none" w:sz="0" w:space="0" w:color="auto"/>
                            <w:left w:val="none" w:sz="0" w:space="0" w:color="auto"/>
                            <w:bottom w:val="none" w:sz="0" w:space="0" w:color="auto"/>
                            <w:right w:val="none" w:sz="0" w:space="0" w:color="auto"/>
                          </w:divBdr>
                          <w:divsChild>
                            <w:div w:id="6054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emf"/><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0.xml"/><Relationship Id="rId10" Type="http://schemas.openxmlformats.org/officeDocument/2006/relationships/chart" Target="charts/chart7.xml"/><Relationship Id="rId19" Type="http://schemas.microsoft.com/office/2007/relationships/stylesWithEffects" Target="stylesWithEffects.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Santos\Desktop\DRI_Trabalho\Water_JPI\JOINT%20ACTIVITIES\WaterWorks2014\Deliverables\D2.2\DocTrab_ww2014-call-submitted-projec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ui.munha\Desktop\DESKTOP%2029102015\WW2014%20EVALUATION%20DESKTOP\00%20FILES%20BACKUP%2020150929\03%20Evaluation%20Process\Call%20Statistics\WW2014_Quality_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Santos\Desktop\ww2014-call-submitted-projec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Santos\Desktop\ww2014-call-submitted-projec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t.mct.pt\dept\DREBM\JPI-WATER\02%20WW2014_Call_Docs\03%20Evaluation%20Process\WW2014_Stat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ct.mct.pt\dept\DREBM\JPI-WATER\02%20WW2014_Call_Docs\03%20Evaluation%20Process\WW2014_Statist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Santos\Desktop\DRI_Trabalho\Water_JPI\JOINT%20ACTIVITIES\WaterWorks2014\Deliverables\D2.2\DocTrab_ww2014-call-submitted-projec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Santos\Desktop\DRI_Trabalho\Water_JPI\JOINT%20ACTIVITIES\WaterWorks2014\Deliverables\D2.2\DocTrab_ww2014-call-submitted-projec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Santos\Desktop\DRI_Trabalho\Water_JPI\JOINT%20ACTIVITIES\WaterWorks2014\Deliverables\D2.2\DocTrab_ww2014-call-submitted-projec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Santos\Desktop\04_WW2014_Pre_Proposals_Conditions%20to%20Step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pt-PT" sz="1200"/>
              <a:t>Countries Participation in the Call</a:t>
            </a:r>
          </a:p>
        </c:rich>
      </c:tx>
    </c:title>
    <c:plotArea>
      <c:layout/>
      <c:pieChart>
        <c:varyColors val="1"/>
        <c:ser>
          <c:idx val="0"/>
          <c:order val="0"/>
          <c:dLbls>
            <c:dLbl>
              <c:idx val="0"/>
              <c:layout>
                <c:manualLayout>
                  <c:x val="-4.0799185816058771E-2"/>
                  <c:y val="-0.23920567375886526"/>
                </c:manualLayout>
              </c:layout>
              <c:tx>
                <c:rich>
                  <a:bodyPr/>
                  <a:lstStyle/>
                  <a:p>
                    <a:pPr>
                      <a:defRPr>
                        <a:solidFill>
                          <a:schemeClr val="bg1"/>
                        </a:solidFill>
                      </a:defRPr>
                    </a:pPr>
                    <a:r>
                      <a:rPr lang="en-US">
                        <a:solidFill>
                          <a:schemeClr val="bg1"/>
                        </a:solidFill>
                      </a:rPr>
                      <a:t>97% (114)</a:t>
                    </a:r>
                  </a:p>
                </c:rich>
              </c:tx>
              <c:spPr/>
              <c:showPercent val="1"/>
              <c:extLst>
                <c:ext xmlns:c15="http://schemas.microsoft.com/office/drawing/2012/chart" uri="{CE6537A1-D6FC-4f65-9D91-7224C49458BB}"/>
              </c:extLst>
            </c:dLbl>
            <c:dLbl>
              <c:idx val="1"/>
              <c:tx>
                <c:rich>
                  <a:bodyPr/>
                  <a:lstStyle/>
                  <a:p>
                    <a:r>
                      <a:rPr lang="en-US"/>
                      <a:t>3% (4)</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'ww2014-call-submitted-projects-'!$B$713:$B$714</c:f>
              <c:strCache>
                <c:ptCount val="2"/>
                <c:pt idx="0">
                  <c:v>Proposals exclusively involving FPOs</c:v>
                </c:pt>
                <c:pt idx="1">
                  <c:v>Proposals involving non-FPOs</c:v>
                </c:pt>
              </c:strCache>
            </c:strRef>
          </c:cat>
          <c:val>
            <c:numRef>
              <c:f>'ww2014-call-submitted-projects-'!$C$713:$C$714</c:f>
              <c:numCache>
                <c:formatCode>General</c:formatCode>
                <c:ptCount val="2"/>
                <c:pt idx="0">
                  <c:v>114</c:v>
                </c:pt>
                <c:pt idx="1">
                  <c:v>4</c:v>
                </c:pt>
              </c:numCache>
            </c:numRef>
          </c:val>
        </c:ser>
        <c:dLbls>
          <c:showPercent val="1"/>
        </c:dLbls>
        <c:firstSliceAng val="0"/>
      </c:pieChart>
    </c:plotArea>
    <c:legend>
      <c:legendPos val="r"/>
      <c:layout>
        <c:manualLayout>
          <c:xMode val="edge"/>
          <c:yMode val="edge"/>
          <c:x val="0.60647109587492043"/>
          <c:y val="0.36497905846875528"/>
          <c:w val="0.33608370382273689"/>
          <c:h val="0.35466621991400044"/>
        </c:manualLayout>
      </c:layout>
      <c:txPr>
        <a:bodyPr/>
        <a:lstStyle/>
        <a:p>
          <a:pPr>
            <a:defRPr sz="1100"/>
          </a:pPr>
          <a:endParaRPr lang="it-IT"/>
        </a:p>
      </c:txPr>
    </c:legend>
    <c:plotVisOnly val="1"/>
    <c:dispBlanksAs val="zero"/>
  </c:chart>
  <c:spPr>
    <a:ln>
      <a:noFill/>
    </a:ln>
  </c:spPr>
  <c:txPr>
    <a:bodyPr/>
    <a:lstStyle/>
    <a:p>
      <a:pPr>
        <a:defRPr sz="1200">
          <a:latin typeface="Gill Sans MT" panose="020B0502020104020203" pitchFamily="34" charset="0"/>
        </a:defRPr>
      </a:pPr>
      <a:endParaRPr lang="it-I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t-IT"/>
  <c:chart>
    <c:plotArea>
      <c:layout/>
      <c:pieChart>
        <c:varyColors val="1"/>
        <c:ser>
          <c:idx val="0"/>
          <c:order val="0"/>
          <c:explosion val="25"/>
          <c:dPt>
            <c:idx val="0"/>
            <c:spPr>
              <a:solidFill>
                <a:srgbClr val="FFC000"/>
              </a:solidFill>
            </c:spPr>
          </c:dPt>
          <c:dPt>
            <c:idx val="1"/>
            <c:spPr>
              <a:solidFill>
                <a:srgbClr val="FF0000"/>
              </a:solidFill>
            </c:spPr>
          </c:dPt>
          <c:dPt>
            <c:idx val="2"/>
            <c:spPr>
              <a:solidFill>
                <a:schemeClr val="accent1">
                  <a:lumMod val="60000"/>
                  <a:lumOff val="40000"/>
                </a:schemeClr>
              </a:solidFill>
            </c:spPr>
          </c:dPt>
          <c:dPt>
            <c:idx val="3"/>
            <c:spPr>
              <a:solidFill>
                <a:srgbClr val="7030A0"/>
              </a:solidFill>
            </c:spPr>
          </c:dPt>
          <c:dPt>
            <c:idx val="4"/>
            <c:spPr>
              <a:solidFill>
                <a:srgbClr val="00B050"/>
              </a:solidFill>
            </c:spPr>
          </c:dPt>
          <c:dLbls>
            <c:dLbl>
              <c:idx val="0"/>
              <c:layout>
                <c:manualLayout>
                  <c:x val="-0.15194444444444472"/>
                  <c:y val="-5.5256634587343336E-3"/>
                </c:manualLayout>
              </c:layout>
              <c:showVal val="1"/>
            </c:dLbl>
            <c:dLbl>
              <c:idx val="1"/>
              <c:layout>
                <c:manualLayout>
                  <c:x val="1.2515091863517069E-2"/>
                  <c:y val="-0.11884259259259254"/>
                </c:manualLayout>
              </c:layout>
              <c:showVal val="1"/>
            </c:dLbl>
            <c:dLbl>
              <c:idx val="2"/>
              <c:showVal val="1"/>
            </c:dLbl>
            <c:dLbl>
              <c:idx val="3"/>
              <c:showVal val="1"/>
            </c:dLbl>
            <c:dLbl>
              <c:idx val="4"/>
              <c:showVal val="1"/>
            </c:dLbl>
            <c:dLbl>
              <c:idx val="5"/>
              <c:layout>
                <c:manualLayout>
                  <c:x val="-1.589599737532808E-2"/>
                  <c:y val="1.1574074074074073E-3"/>
                </c:manualLayout>
              </c:layout>
              <c:showVal val="1"/>
            </c:dLbl>
            <c:delete val="1"/>
            <c:spPr>
              <a:ln w="19050">
                <a:noFill/>
              </a:ln>
            </c:spPr>
          </c:dLbls>
          <c:cat>
            <c:strRef>
              <c:f>Sheet1!$D$2:$H$2</c:f>
              <c:strCache>
                <c:ptCount val="5"/>
                <c:pt idx="0">
                  <c:v>TOPIC 1</c:v>
                </c:pt>
                <c:pt idx="1">
                  <c:v>TOPIC 1,2</c:v>
                </c:pt>
                <c:pt idx="2">
                  <c:v>TOPIC 2</c:v>
                </c:pt>
                <c:pt idx="3">
                  <c:v>TOPIC 2,3</c:v>
                </c:pt>
                <c:pt idx="4">
                  <c:v>TOPIC 3</c:v>
                </c:pt>
              </c:strCache>
            </c:strRef>
          </c:cat>
          <c:val>
            <c:numRef>
              <c:f>Sheet1!$D$5:$H$5</c:f>
              <c:numCache>
                <c:formatCode>General</c:formatCode>
                <c:ptCount val="5"/>
                <c:pt idx="0">
                  <c:v>5</c:v>
                </c:pt>
                <c:pt idx="1">
                  <c:v>1</c:v>
                </c:pt>
                <c:pt idx="2">
                  <c:v>4</c:v>
                </c:pt>
                <c:pt idx="3">
                  <c:v>1</c:v>
                </c:pt>
                <c:pt idx="4">
                  <c:v>5</c:v>
                </c:pt>
              </c:numCache>
            </c:numRef>
          </c:val>
        </c:ser>
        <c:firstSliceAng val="0"/>
      </c:pieChart>
    </c:plotArea>
    <c:legend>
      <c:legendPos val="r"/>
      <c:layout>
        <c:manualLayout>
          <c:xMode val="edge"/>
          <c:yMode val="edge"/>
          <c:x val="0.5673419060027568"/>
          <c:y val="0.12420131694064562"/>
          <c:w val="0.3640306652315945"/>
          <c:h val="0.78278644993937152"/>
        </c:manualLayout>
      </c:layout>
    </c:legend>
    <c:plotVisOnly val="1"/>
    <c:dispBlanksAs val="zero"/>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latin typeface="Gill Sans MT" panose="020B0502020104020203" pitchFamily="34" charset="0"/>
              </a:defRPr>
            </a:pPr>
            <a:r>
              <a:rPr lang="pt-PT" sz="1200">
                <a:latin typeface="Gill Sans MT" panose="020B0502020104020203" pitchFamily="34" charset="0"/>
              </a:rPr>
              <a:t>STEP</a:t>
            </a:r>
            <a:r>
              <a:rPr lang="pt-PT" sz="1200" baseline="0">
                <a:latin typeface="Gill Sans MT" panose="020B0502020104020203" pitchFamily="34" charset="0"/>
              </a:rPr>
              <a:t> 1 - </a:t>
            </a:r>
            <a:r>
              <a:rPr lang="pt-PT" sz="1200">
                <a:latin typeface="Gill Sans MT" panose="020B0502020104020203" pitchFamily="34" charset="0"/>
              </a:rPr>
              <a:t>Number of Coordinators</a:t>
            </a:r>
            <a:r>
              <a:rPr lang="pt-PT" sz="1200" baseline="0">
                <a:latin typeface="Gill Sans MT" panose="020B0502020104020203" pitchFamily="34" charset="0"/>
              </a:rPr>
              <a:t> and Partners per Country</a:t>
            </a:r>
            <a:endParaRPr lang="pt-PT" sz="1200">
              <a:latin typeface="Gill Sans MT" panose="020B0502020104020203" pitchFamily="34" charset="0"/>
            </a:endParaRPr>
          </a:p>
        </c:rich>
      </c:tx>
    </c:title>
    <c:plotArea>
      <c:layout/>
      <c:barChart>
        <c:barDir val="col"/>
        <c:grouping val="clustered"/>
        <c:ser>
          <c:idx val="0"/>
          <c:order val="0"/>
          <c:tx>
            <c:strRef>
              <c:f>'ww2014-call-submitted-projects-'!$C$653</c:f>
              <c:strCache>
                <c:ptCount val="1"/>
                <c:pt idx="0">
                  <c:v>Coordinators</c:v>
                </c:pt>
              </c:strCache>
            </c:strRef>
          </c:tx>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a:lstStyle/>
              <a:p>
                <a:pPr>
                  <a:defRPr>
                    <a:latin typeface="Gill Sans MT" panose="020B0502020104020203" pitchFamily="34" charset="0"/>
                  </a:defRPr>
                </a:pPr>
                <a:endParaRPr lang="it-IT"/>
              </a:p>
            </c:txPr>
            <c:showVal val="1"/>
            <c:extLst>
              <c:ext xmlns:c15="http://schemas.microsoft.com/office/drawing/2012/chart" uri="{CE6537A1-D6FC-4f65-9D91-7224C49458BB}">
                <c15:showLeaderLines val="0"/>
              </c:ext>
            </c:extLst>
          </c:dLbls>
          <c:cat>
            <c:strRef>
              <c:f>'ww2014-call-submitted-projects-'!$B$654:$B$672</c:f>
              <c:strCache>
                <c:ptCount val="19"/>
                <c:pt idx="0">
                  <c:v>Belgium</c:v>
                </c:pt>
                <c:pt idx="1">
                  <c:v>Canada</c:v>
                </c:pt>
                <c:pt idx="2">
                  <c:v>China</c:v>
                </c:pt>
                <c:pt idx="3">
                  <c:v>Cyprus</c:v>
                </c:pt>
                <c:pt idx="4">
                  <c:v>Denmark</c:v>
                </c:pt>
                <c:pt idx="5">
                  <c:v>Estonia</c:v>
                </c:pt>
                <c:pt idx="6">
                  <c:v>Finland</c:v>
                </c:pt>
                <c:pt idx="7">
                  <c:v>Ireland</c:v>
                </c:pt>
                <c:pt idx="8">
                  <c:v>Israel</c:v>
                </c:pt>
                <c:pt idx="9">
                  <c:v>Italy</c:v>
                </c:pt>
                <c:pt idx="10">
                  <c:v>Moldova</c:v>
                </c:pt>
                <c:pt idx="11">
                  <c:v>The Netherlands</c:v>
                </c:pt>
                <c:pt idx="12">
                  <c:v>Norway</c:v>
                </c:pt>
                <c:pt idx="13">
                  <c:v>Poland</c:v>
                </c:pt>
                <c:pt idx="14">
                  <c:v>Portugal</c:v>
                </c:pt>
                <c:pt idx="15">
                  <c:v>Romania</c:v>
                </c:pt>
                <c:pt idx="16">
                  <c:v>South Africa</c:v>
                </c:pt>
                <c:pt idx="17">
                  <c:v>Spain</c:v>
                </c:pt>
                <c:pt idx="18">
                  <c:v>Sweden</c:v>
                </c:pt>
              </c:strCache>
            </c:strRef>
          </c:cat>
          <c:val>
            <c:numRef>
              <c:f>'ww2014-call-submitted-projects-'!$C$654:$C$672</c:f>
              <c:numCache>
                <c:formatCode>General</c:formatCode>
                <c:ptCount val="19"/>
                <c:pt idx="0">
                  <c:v>1</c:v>
                </c:pt>
                <c:pt idx="1">
                  <c:v>0</c:v>
                </c:pt>
                <c:pt idx="2">
                  <c:v>0</c:v>
                </c:pt>
                <c:pt idx="3">
                  <c:v>3</c:v>
                </c:pt>
                <c:pt idx="4">
                  <c:v>3</c:v>
                </c:pt>
                <c:pt idx="5">
                  <c:v>1</c:v>
                </c:pt>
                <c:pt idx="6">
                  <c:v>0</c:v>
                </c:pt>
                <c:pt idx="7">
                  <c:v>1</c:v>
                </c:pt>
                <c:pt idx="8">
                  <c:v>2</c:v>
                </c:pt>
                <c:pt idx="9">
                  <c:v>30</c:v>
                </c:pt>
                <c:pt idx="10">
                  <c:v>1</c:v>
                </c:pt>
                <c:pt idx="11">
                  <c:v>1</c:v>
                </c:pt>
                <c:pt idx="12">
                  <c:v>6</c:v>
                </c:pt>
                <c:pt idx="13">
                  <c:v>0</c:v>
                </c:pt>
                <c:pt idx="14">
                  <c:v>17</c:v>
                </c:pt>
                <c:pt idx="15">
                  <c:v>6</c:v>
                </c:pt>
                <c:pt idx="16">
                  <c:v>1</c:v>
                </c:pt>
                <c:pt idx="17">
                  <c:v>37</c:v>
                </c:pt>
                <c:pt idx="18">
                  <c:v>8</c:v>
                </c:pt>
              </c:numCache>
            </c:numRef>
          </c:val>
        </c:ser>
        <c:ser>
          <c:idx val="1"/>
          <c:order val="1"/>
          <c:tx>
            <c:strRef>
              <c:f>'ww2014-call-submitted-projects-'!$D$653</c:f>
              <c:strCache>
                <c:ptCount val="1"/>
                <c:pt idx="0">
                  <c:v>Partners</c:v>
                </c:pt>
              </c:strCache>
            </c:strRef>
          </c:tx>
          <c:dLbls>
            <c:spPr>
              <a:noFill/>
              <a:ln>
                <a:noFill/>
              </a:ln>
              <a:effectLst/>
            </c:spPr>
            <c:txPr>
              <a:bodyPr/>
              <a:lstStyle/>
              <a:p>
                <a:pPr>
                  <a:defRPr>
                    <a:latin typeface="Gill Sans MT" panose="020B0502020104020203" pitchFamily="34" charset="0"/>
                  </a:defRPr>
                </a:pPr>
                <a:endParaRPr lang="it-IT"/>
              </a:p>
            </c:txPr>
            <c:showVal val="1"/>
            <c:extLst>
              <c:ext xmlns:c15="http://schemas.microsoft.com/office/drawing/2012/chart" uri="{CE6537A1-D6FC-4f65-9D91-7224C49458BB}">
                <c15:showLeaderLines val="0"/>
              </c:ext>
            </c:extLst>
          </c:dLbls>
          <c:cat>
            <c:strRef>
              <c:f>'ww2014-call-submitted-projects-'!$B$654:$B$672</c:f>
              <c:strCache>
                <c:ptCount val="19"/>
                <c:pt idx="0">
                  <c:v>Belgium</c:v>
                </c:pt>
                <c:pt idx="1">
                  <c:v>Canada</c:v>
                </c:pt>
                <c:pt idx="2">
                  <c:v>China</c:v>
                </c:pt>
                <c:pt idx="3">
                  <c:v>Cyprus</c:v>
                </c:pt>
                <c:pt idx="4">
                  <c:v>Denmark</c:v>
                </c:pt>
                <c:pt idx="5">
                  <c:v>Estonia</c:v>
                </c:pt>
                <c:pt idx="6">
                  <c:v>Finland</c:v>
                </c:pt>
                <c:pt idx="7">
                  <c:v>Ireland</c:v>
                </c:pt>
                <c:pt idx="8">
                  <c:v>Israel</c:v>
                </c:pt>
                <c:pt idx="9">
                  <c:v>Italy</c:v>
                </c:pt>
                <c:pt idx="10">
                  <c:v>Moldova</c:v>
                </c:pt>
                <c:pt idx="11">
                  <c:v>The Netherlands</c:v>
                </c:pt>
                <c:pt idx="12">
                  <c:v>Norway</c:v>
                </c:pt>
                <c:pt idx="13">
                  <c:v>Poland</c:v>
                </c:pt>
                <c:pt idx="14">
                  <c:v>Portugal</c:v>
                </c:pt>
                <c:pt idx="15">
                  <c:v>Romania</c:v>
                </c:pt>
                <c:pt idx="16">
                  <c:v>South Africa</c:v>
                </c:pt>
                <c:pt idx="17">
                  <c:v>Spain</c:v>
                </c:pt>
                <c:pt idx="18">
                  <c:v>Sweden</c:v>
                </c:pt>
              </c:strCache>
            </c:strRef>
          </c:cat>
          <c:val>
            <c:numRef>
              <c:f>'ww2014-call-submitted-projects-'!$D$654:$D$672</c:f>
              <c:numCache>
                <c:formatCode>General</c:formatCode>
                <c:ptCount val="19"/>
                <c:pt idx="0">
                  <c:v>7</c:v>
                </c:pt>
                <c:pt idx="1">
                  <c:v>1</c:v>
                </c:pt>
                <c:pt idx="2">
                  <c:v>1</c:v>
                </c:pt>
                <c:pt idx="3">
                  <c:v>16</c:v>
                </c:pt>
                <c:pt idx="4">
                  <c:v>28</c:v>
                </c:pt>
                <c:pt idx="5">
                  <c:v>7</c:v>
                </c:pt>
                <c:pt idx="6">
                  <c:v>1</c:v>
                </c:pt>
                <c:pt idx="7">
                  <c:v>20</c:v>
                </c:pt>
                <c:pt idx="8">
                  <c:v>17</c:v>
                </c:pt>
                <c:pt idx="9">
                  <c:v>96</c:v>
                </c:pt>
                <c:pt idx="10">
                  <c:v>4</c:v>
                </c:pt>
                <c:pt idx="11">
                  <c:v>15</c:v>
                </c:pt>
                <c:pt idx="12">
                  <c:v>34</c:v>
                </c:pt>
                <c:pt idx="13">
                  <c:v>1</c:v>
                </c:pt>
                <c:pt idx="14">
                  <c:v>78</c:v>
                </c:pt>
                <c:pt idx="15">
                  <c:v>39</c:v>
                </c:pt>
                <c:pt idx="16">
                  <c:v>10</c:v>
                </c:pt>
                <c:pt idx="17">
                  <c:v>117</c:v>
                </c:pt>
                <c:pt idx="18">
                  <c:v>39</c:v>
                </c:pt>
              </c:numCache>
            </c:numRef>
          </c:val>
        </c:ser>
        <c:axId val="100577280"/>
        <c:axId val="100578816"/>
      </c:barChart>
      <c:catAx>
        <c:axId val="100577280"/>
        <c:scaling>
          <c:orientation val="minMax"/>
        </c:scaling>
        <c:axPos val="b"/>
        <c:numFmt formatCode="General" sourceLinked="0"/>
        <c:majorTickMark val="none"/>
        <c:tickLblPos val="nextTo"/>
        <c:txPr>
          <a:bodyPr/>
          <a:lstStyle/>
          <a:p>
            <a:pPr>
              <a:defRPr>
                <a:latin typeface="Gill Sans MT" panose="020B0502020104020203" pitchFamily="34" charset="0"/>
              </a:defRPr>
            </a:pPr>
            <a:endParaRPr lang="it-IT"/>
          </a:p>
        </c:txPr>
        <c:crossAx val="100578816"/>
        <c:crosses val="autoZero"/>
        <c:auto val="1"/>
        <c:lblAlgn val="ctr"/>
        <c:lblOffset val="100"/>
      </c:catAx>
      <c:valAx>
        <c:axId val="100578816"/>
        <c:scaling>
          <c:orientation val="minMax"/>
        </c:scaling>
        <c:axPos val="l"/>
        <c:majorGridlines/>
        <c:numFmt formatCode="General" sourceLinked="1"/>
        <c:majorTickMark val="none"/>
        <c:tickLblPos val="nextTo"/>
        <c:crossAx val="100577280"/>
        <c:crosses val="autoZero"/>
        <c:crossBetween val="between"/>
      </c:valAx>
    </c:plotArea>
    <c:legend>
      <c:legendPos val="r"/>
      <c:txPr>
        <a:bodyPr/>
        <a:lstStyle/>
        <a:p>
          <a:pPr>
            <a:defRPr>
              <a:latin typeface="Gill Sans MT" panose="020B0502020104020203" pitchFamily="34" charset="0"/>
            </a:defRPr>
          </a:pPr>
          <a:endParaRPr lang="it-IT"/>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pt-PT" sz="1200"/>
              <a:t>Selected Pre-Proposals - Number of Coordinators and Partners per Country</a:t>
            </a:r>
          </a:p>
        </c:rich>
      </c:tx>
    </c:title>
    <c:plotArea>
      <c:layout/>
      <c:barChart>
        <c:barDir val="col"/>
        <c:grouping val="clustered"/>
        <c:ser>
          <c:idx val="0"/>
          <c:order val="0"/>
          <c:tx>
            <c:strRef>
              <c:f>Sheet3!$C$239</c:f>
              <c:strCache>
                <c:ptCount val="1"/>
                <c:pt idx="0">
                  <c:v>Coordinators</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Sheet3!$B$240:$B$258</c:f>
              <c:strCache>
                <c:ptCount val="19"/>
                <c:pt idx="0">
                  <c:v>Belgium</c:v>
                </c:pt>
                <c:pt idx="1">
                  <c:v>Canada</c:v>
                </c:pt>
                <c:pt idx="2">
                  <c:v>China</c:v>
                </c:pt>
                <c:pt idx="3">
                  <c:v>Cyprus</c:v>
                </c:pt>
                <c:pt idx="4">
                  <c:v>Denmark</c:v>
                </c:pt>
                <c:pt idx="5">
                  <c:v>Estonia</c:v>
                </c:pt>
                <c:pt idx="6">
                  <c:v>Finland</c:v>
                </c:pt>
                <c:pt idx="7">
                  <c:v>Ireland</c:v>
                </c:pt>
                <c:pt idx="8">
                  <c:v>Israel</c:v>
                </c:pt>
                <c:pt idx="9">
                  <c:v>Italy</c:v>
                </c:pt>
                <c:pt idx="10">
                  <c:v>Moldova</c:v>
                </c:pt>
                <c:pt idx="11">
                  <c:v>The Netherlands</c:v>
                </c:pt>
                <c:pt idx="12">
                  <c:v>Norway</c:v>
                </c:pt>
                <c:pt idx="13">
                  <c:v>Poland</c:v>
                </c:pt>
                <c:pt idx="14">
                  <c:v>Portugal</c:v>
                </c:pt>
                <c:pt idx="15">
                  <c:v>Romania</c:v>
                </c:pt>
                <c:pt idx="16">
                  <c:v>South Africa</c:v>
                </c:pt>
                <c:pt idx="17">
                  <c:v>Spain</c:v>
                </c:pt>
                <c:pt idx="18">
                  <c:v>Sweden</c:v>
                </c:pt>
              </c:strCache>
            </c:strRef>
          </c:cat>
          <c:val>
            <c:numRef>
              <c:f>Sheet3!$C$240:$C$258</c:f>
              <c:numCache>
                <c:formatCode>General</c:formatCode>
                <c:ptCount val="19"/>
                <c:pt idx="0">
                  <c:v>0</c:v>
                </c:pt>
                <c:pt idx="1">
                  <c:v>0</c:v>
                </c:pt>
                <c:pt idx="2">
                  <c:v>0</c:v>
                </c:pt>
                <c:pt idx="3">
                  <c:v>2</c:v>
                </c:pt>
                <c:pt idx="4">
                  <c:v>3</c:v>
                </c:pt>
                <c:pt idx="5">
                  <c:v>0</c:v>
                </c:pt>
                <c:pt idx="6">
                  <c:v>0</c:v>
                </c:pt>
                <c:pt idx="7">
                  <c:v>0</c:v>
                </c:pt>
                <c:pt idx="8">
                  <c:v>0</c:v>
                </c:pt>
                <c:pt idx="9">
                  <c:v>10</c:v>
                </c:pt>
                <c:pt idx="10">
                  <c:v>0</c:v>
                </c:pt>
                <c:pt idx="11">
                  <c:v>0</c:v>
                </c:pt>
                <c:pt idx="12">
                  <c:v>2</c:v>
                </c:pt>
                <c:pt idx="13">
                  <c:v>0</c:v>
                </c:pt>
                <c:pt idx="14">
                  <c:v>9</c:v>
                </c:pt>
                <c:pt idx="15">
                  <c:v>0</c:v>
                </c:pt>
                <c:pt idx="16">
                  <c:v>0</c:v>
                </c:pt>
                <c:pt idx="17">
                  <c:v>12</c:v>
                </c:pt>
                <c:pt idx="18">
                  <c:v>3</c:v>
                </c:pt>
              </c:numCache>
            </c:numRef>
          </c:val>
        </c:ser>
        <c:ser>
          <c:idx val="1"/>
          <c:order val="1"/>
          <c:tx>
            <c:strRef>
              <c:f>Sheet3!$D$239</c:f>
              <c:strCache>
                <c:ptCount val="1"/>
                <c:pt idx="0">
                  <c:v>Partners</c:v>
                </c:pt>
              </c:strCache>
            </c:strRef>
          </c:tx>
          <c:dLbls>
            <c:dLbl>
              <c:idx val="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Sheet3!$B$240:$B$258</c:f>
              <c:strCache>
                <c:ptCount val="19"/>
                <c:pt idx="0">
                  <c:v>Belgium</c:v>
                </c:pt>
                <c:pt idx="1">
                  <c:v>Canada</c:v>
                </c:pt>
                <c:pt idx="2">
                  <c:v>China</c:v>
                </c:pt>
                <c:pt idx="3">
                  <c:v>Cyprus</c:v>
                </c:pt>
                <c:pt idx="4">
                  <c:v>Denmark</c:v>
                </c:pt>
                <c:pt idx="5">
                  <c:v>Estonia</c:v>
                </c:pt>
                <c:pt idx="6">
                  <c:v>Finland</c:v>
                </c:pt>
                <c:pt idx="7">
                  <c:v>Ireland</c:v>
                </c:pt>
                <c:pt idx="8">
                  <c:v>Israel</c:v>
                </c:pt>
                <c:pt idx="9">
                  <c:v>Italy</c:v>
                </c:pt>
                <c:pt idx="10">
                  <c:v>Moldova</c:v>
                </c:pt>
                <c:pt idx="11">
                  <c:v>The Netherlands</c:v>
                </c:pt>
                <c:pt idx="12">
                  <c:v>Norway</c:v>
                </c:pt>
                <c:pt idx="13">
                  <c:v>Poland</c:v>
                </c:pt>
                <c:pt idx="14">
                  <c:v>Portugal</c:v>
                </c:pt>
                <c:pt idx="15">
                  <c:v>Romania</c:v>
                </c:pt>
                <c:pt idx="16">
                  <c:v>South Africa</c:v>
                </c:pt>
                <c:pt idx="17">
                  <c:v>Spain</c:v>
                </c:pt>
                <c:pt idx="18">
                  <c:v>Sweden</c:v>
                </c:pt>
              </c:strCache>
            </c:strRef>
          </c:cat>
          <c:val>
            <c:numRef>
              <c:f>Sheet3!$D$240:$D$258</c:f>
              <c:numCache>
                <c:formatCode>General</c:formatCode>
                <c:ptCount val="19"/>
                <c:pt idx="0">
                  <c:v>1</c:v>
                </c:pt>
                <c:pt idx="1">
                  <c:v>0</c:v>
                </c:pt>
                <c:pt idx="2">
                  <c:v>1</c:v>
                </c:pt>
                <c:pt idx="3">
                  <c:v>5</c:v>
                </c:pt>
                <c:pt idx="4">
                  <c:v>14</c:v>
                </c:pt>
                <c:pt idx="5">
                  <c:v>2</c:v>
                </c:pt>
                <c:pt idx="6">
                  <c:v>1</c:v>
                </c:pt>
                <c:pt idx="7">
                  <c:v>9</c:v>
                </c:pt>
                <c:pt idx="8">
                  <c:v>4</c:v>
                </c:pt>
                <c:pt idx="9">
                  <c:v>36</c:v>
                </c:pt>
                <c:pt idx="10">
                  <c:v>1</c:v>
                </c:pt>
                <c:pt idx="11">
                  <c:v>9</c:v>
                </c:pt>
                <c:pt idx="12">
                  <c:v>10</c:v>
                </c:pt>
                <c:pt idx="13">
                  <c:v>0</c:v>
                </c:pt>
                <c:pt idx="14">
                  <c:v>29</c:v>
                </c:pt>
                <c:pt idx="15">
                  <c:v>8</c:v>
                </c:pt>
                <c:pt idx="16">
                  <c:v>3</c:v>
                </c:pt>
                <c:pt idx="17">
                  <c:v>47</c:v>
                </c:pt>
                <c:pt idx="18">
                  <c:v>13</c:v>
                </c:pt>
              </c:numCache>
            </c:numRef>
          </c:val>
        </c:ser>
        <c:axId val="104076032"/>
        <c:axId val="104096896"/>
      </c:barChart>
      <c:catAx>
        <c:axId val="104076032"/>
        <c:scaling>
          <c:orientation val="minMax"/>
        </c:scaling>
        <c:axPos val="b"/>
        <c:numFmt formatCode="General" sourceLinked="0"/>
        <c:majorTickMark val="none"/>
        <c:tickLblPos val="nextTo"/>
        <c:crossAx val="104096896"/>
        <c:crosses val="autoZero"/>
        <c:auto val="1"/>
        <c:lblAlgn val="ctr"/>
        <c:lblOffset val="100"/>
      </c:catAx>
      <c:valAx>
        <c:axId val="104096896"/>
        <c:scaling>
          <c:orientation val="minMax"/>
        </c:scaling>
        <c:axPos val="l"/>
        <c:majorGridlines/>
        <c:numFmt formatCode="General" sourceLinked="1"/>
        <c:majorTickMark val="none"/>
        <c:tickLblPos val="nextTo"/>
        <c:crossAx val="104076032"/>
        <c:crosses val="autoZero"/>
        <c:crossBetween val="between"/>
      </c:valAx>
    </c:plotArea>
    <c:legend>
      <c:legendPos val="r"/>
    </c:legend>
    <c:plotVisOnly val="1"/>
    <c:dispBlanksAs val="gap"/>
  </c:chart>
  <c:spPr>
    <a:ln>
      <a:noFill/>
    </a:ln>
  </c:spPr>
  <c:txPr>
    <a:bodyPr/>
    <a:lstStyle/>
    <a:p>
      <a:pPr>
        <a:defRPr>
          <a:latin typeface="Gill Sans MT" panose="020B0502020104020203" pitchFamily="34" charset="0"/>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pt-PT" sz="1200"/>
              <a:t>Number of Coordinators Per Organisation Type</a:t>
            </a:r>
          </a:p>
        </c:rich>
      </c:tx>
    </c:title>
    <c:plotArea>
      <c:layout/>
      <c:pieChart>
        <c:varyColors val="1"/>
        <c:ser>
          <c:idx val="0"/>
          <c:order val="0"/>
          <c:dPt>
            <c:idx val="1"/>
            <c:spPr>
              <a:solidFill>
                <a:srgbClr val="800000"/>
              </a:solidFill>
              <a:effectLst>
                <a:outerShdw blurRad="50800" dist="50800" dir="5400000" algn="ctr" rotWithShape="0">
                  <a:srgbClr val="800000"/>
                </a:outerShdw>
              </a:effectLst>
            </c:spPr>
          </c:dPt>
          <c:dLbls>
            <c:dLbl>
              <c:idx val="0"/>
              <c:tx>
                <c:rich>
                  <a:bodyPr/>
                  <a:lstStyle/>
                  <a:p>
                    <a:pPr>
                      <a:defRPr sz="1200">
                        <a:solidFill>
                          <a:schemeClr val="bg1"/>
                        </a:solidFill>
                      </a:defRPr>
                    </a:pPr>
                    <a:r>
                      <a:rPr lang="en-US" sz="1200">
                        <a:solidFill>
                          <a:schemeClr val="bg1"/>
                        </a:solidFill>
                      </a:rPr>
                      <a:t>93%</a:t>
                    </a:r>
                  </a:p>
                  <a:p>
                    <a:pPr>
                      <a:defRPr sz="1200">
                        <a:solidFill>
                          <a:schemeClr val="bg1"/>
                        </a:solidFill>
                      </a:defRPr>
                    </a:pPr>
                    <a:r>
                      <a:rPr lang="en-US" sz="1200">
                        <a:solidFill>
                          <a:schemeClr val="bg1"/>
                        </a:solidFill>
                      </a:rPr>
                      <a:t>(110)</a:t>
                    </a:r>
                    <a:endParaRPr lang="en-US">
                      <a:solidFill>
                        <a:schemeClr val="bg1"/>
                      </a:solidFill>
                    </a:endParaRPr>
                  </a:p>
                </c:rich>
              </c:tx>
              <c:spPr/>
              <c:showPercent val="1"/>
              <c:extLst>
                <c:ext xmlns:c15="http://schemas.microsoft.com/office/drawing/2012/chart" uri="{CE6537A1-D6FC-4f65-9D91-7224C49458BB}"/>
              </c:extLst>
            </c:dLbl>
            <c:dLbl>
              <c:idx val="1"/>
              <c:layout>
                <c:manualLayout>
                  <c:x val="-0.15095262517472674"/>
                  <c:y val="6.4175343011033573E-2"/>
                </c:manualLayout>
              </c:layout>
              <c:tx>
                <c:rich>
                  <a:bodyPr/>
                  <a:lstStyle/>
                  <a:p>
                    <a:r>
                      <a:rPr lang="en-US" sz="1200" dirty="0"/>
                      <a:t>7%</a:t>
                    </a:r>
                  </a:p>
                  <a:p>
                    <a:r>
                      <a:rPr lang="en-US" sz="1200" dirty="0"/>
                      <a:t>(</a:t>
                    </a:r>
                    <a:r>
                      <a:rPr lang="en-US" sz="1200" dirty="0" smtClean="0"/>
                      <a:t>8)</a:t>
                    </a:r>
                    <a:endParaRPr lang="en-US" sz="1600" dirty="0"/>
                  </a:p>
                </c:rich>
              </c:tx>
              <c:showPercent val="1"/>
              <c:extLst>
                <c:ext xmlns:c15="http://schemas.microsoft.com/office/drawing/2012/chart" uri="{CE6537A1-D6FC-4f65-9D91-7224C49458BB}"/>
              </c:extLst>
            </c:dLbl>
            <c:spPr>
              <a:noFill/>
              <a:ln>
                <a:noFill/>
              </a:ln>
              <a:effectLst/>
            </c:spPr>
            <c:txPr>
              <a:bodyPr/>
              <a:lstStyle/>
              <a:p>
                <a:pPr>
                  <a:defRPr sz="1200"/>
                </a:pPr>
                <a:endParaRPr lang="it-IT"/>
              </a:p>
            </c:txPr>
            <c:showPercent val="1"/>
            <c:showLeaderLines val="1"/>
            <c:extLst>
              <c:ext xmlns:c15="http://schemas.microsoft.com/office/drawing/2012/chart" uri="{CE6537A1-D6FC-4f65-9D91-7224C49458BB}"/>
            </c:extLst>
          </c:dLbls>
          <c:cat>
            <c:strRef>
              <c:f>[WW2014_Statistics.xlsx]Sheet1!$B$57:$B$58</c:f>
              <c:strCache>
                <c:ptCount val="2"/>
                <c:pt idx="0">
                  <c:v>non-profit organisation</c:v>
                </c:pt>
                <c:pt idx="1">
                  <c:v>private enterprise</c:v>
                </c:pt>
              </c:strCache>
            </c:strRef>
          </c:cat>
          <c:val>
            <c:numRef>
              <c:f>[WW2014_Statistics.xlsx]Sheet1!$C$57:$C$58</c:f>
              <c:numCache>
                <c:formatCode>General</c:formatCode>
                <c:ptCount val="2"/>
                <c:pt idx="0">
                  <c:v>110</c:v>
                </c:pt>
                <c:pt idx="1">
                  <c:v>8</c:v>
                </c:pt>
              </c:numCache>
            </c:numRef>
          </c:val>
        </c:ser>
        <c:dLbls>
          <c:showPercent val="1"/>
        </c:dLbls>
        <c:firstSliceAng val="0"/>
      </c:pieChart>
    </c:plotArea>
    <c:legend>
      <c:legendPos val="r"/>
      <c:layout>
        <c:manualLayout>
          <c:xMode val="edge"/>
          <c:yMode val="edge"/>
          <c:x val="0.60523767862350608"/>
          <c:y val="0.33906830366583379"/>
          <c:w val="0.36411098038032635"/>
          <c:h val="0.55459641004590066"/>
        </c:manualLayout>
      </c:layout>
      <c:txPr>
        <a:bodyPr/>
        <a:lstStyle/>
        <a:p>
          <a:pPr>
            <a:defRPr sz="1100"/>
          </a:pPr>
          <a:endParaRPr lang="it-IT"/>
        </a:p>
      </c:txPr>
    </c:legend>
    <c:plotVisOnly val="1"/>
    <c:dispBlanksAs val="zero"/>
  </c:chart>
  <c:spPr>
    <a:ln>
      <a:noFill/>
    </a:ln>
  </c:spPr>
  <c:txPr>
    <a:bodyPr/>
    <a:lstStyle/>
    <a:p>
      <a:pPr>
        <a:defRPr>
          <a:latin typeface="Gill Sans MT" panose="020B0502020104020203" pitchFamily="34" charset="0"/>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pt-PT" sz="1200"/>
              <a:t>Number of Partners Per Organisation Type</a:t>
            </a:r>
          </a:p>
        </c:rich>
      </c:tx>
    </c:title>
    <c:plotArea>
      <c:layout/>
      <c:pieChart>
        <c:varyColors val="1"/>
        <c:ser>
          <c:idx val="0"/>
          <c:order val="0"/>
          <c:dPt>
            <c:idx val="1"/>
            <c:spPr>
              <a:solidFill>
                <a:srgbClr val="800000"/>
              </a:solidFill>
            </c:spPr>
          </c:dPt>
          <c:dLbls>
            <c:dLbl>
              <c:idx val="0"/>
              <c:layout>
                <c:manualLayout>
                  <c:x val="-0.12576630829725671"/>
                  <c:y val="-0.18724126490471291"/>
                </c:manualLayout>
              </c:layout>
              <c:tx>
                <c:rich>
                  <a:bodyPr/>
                  <a:lstStyle/>
                  <a:p>
                    <a:r>
                      <a:rPr lang="en-US" sz="1200" b="0" dirty="0">
                        <a:solidFill>
                          <a:schemeClr val="bg1"/>
                        </a:solidFill>
                      </a:rPr>
                      <a:t>80%</a:t>
                    </a:r>
                  </a:p>
                  <a:p>
                    <a:r>
                      <a:rPr lang="en-US" sz="1200" b="0" dirty="0">
                        <a:solidFill>
                          <a:schemeClr val="bg1"/>
                        </a:solidFill>
                      </a:rPr>
                      <a:t>(</a:t>
                    </a:r>
                    <a:r>
                      <a:rPr lang="en-US" sz="1200" b="0" dirty="0" smtClean="0">
                        <a:solidFill>
                          <a:schemeClr val="bg1"/>
                        </a:solidFill>
                      </a:rPr>
                      <a:t>423)</a:t>
                    </a:r>
                    <a:endParaRPr lang="en-US" dirty="0"/>
                  </a:p>
                </c:rich>
              </c:tx>
              <c:showPercent val="1"/>
              <c:extLst>
                <c:ext xmlns:c15="http://schemas.microsoft.com/office/drawing/2012/chart" uri="{CE6537A1-D6FC-4f65-9D91-7224C49458BB}"/>
              </c:extLst>
            </c:dLbl>
            <c:dLbl>
              <c:idx val="1"/>
              <c:layout>
                <c:manualLayout>
                  <c:x val="0.12461297560744615"/>
                  <c:y val="0.18824982526336204"/>
                </c:manualLayout>
              </c:layout>
              <c:tx>
                <c:rich>
                  <a:bodyPr/>
                  <a:lstStyle/>
                  <a:p>
                    <a:r>
                      <a:rPr lang="en-US" sz="1200" b="0" dirty="0">
                        <a:solidFill>
                          <a:schemeClr val="bg1"/>
                        </a:solidFill>
                      </a:rPr>
                      <a:t>20%</a:t>
                    </a:r>
                  </a:p>
                  <a:p>
                    <a:r>
                      <a:rPr lang="en-US" sz="1200" b="0" dirty="0">
                        <a:solidFill>
                          <a:schemeClr val="bg1"/>
                        </a:solidFill>
                      </a:rPr>
                      <a:t>(</a:t>
                    </a:r>
                    <a:r>
                      <a:rPr lang="en-US" sz="1200" b="0" dirty="0" smtClean="0">
                        <a:solidFill>
                          <a:schemeClr val="bg1"/>
                        </a:solidFill>
                      </a:rPr>
                      <a:t>108)</a:t>
                    </a:r>
                    <a:endParaRPr lang="en-US" dirty="0"/>
                  </a:p>
                </c:rich>
              </c:tx>
              <c:showPercent val="1"/>
              <c:extLst>
                <c:ext xmlns:c15="http://schemas.microsoft.com/office/drawing/2012/chart" uri="{CE6537A1-D6FC-4f65-9D91-7224C49458BB}"/>
              </c:extLst>
            </c:dLbl>
            <c:spPr>
              <a:noFill/>
              <a:ln>
                <a:noFill/>
              </a:ln>
              <a:effectLst/>
            </c:spPr>
            <c:txPr>
              <a:bodyPr/>
              <a:lstStyle/>
              <a:p>
                <a:pPr>
                  <a:defRPr sz="1200" b="0"/>
                </a:pPr>
                <a:endParaRPr lang="it-IT"/>
              </a:p>
            </c:txPr>
            <c:showPercent val="1"/>
            <c:showLeaderLines val="1"/>
            <c:extLst>
              <c:ext xmlns:c15="http://schemas.microsoft.com/office/drawing/2012/chart" uri="{CE6537A1-D6FC-4f65-9D91-7224C49458BB}"/>
            </c:extLst>
          </c:dLbls>
          <c:cat>
            <c:strRef>
              <c:f>[WW2014_Statistics.xlsx]Sheet1!$B$61:$B$62</c:f>
              <c:strCache>
                <c:ptCount val="2"/>
                <c:pt idx="0">
                  <c:v>non-profit organisation</c:v>
                </c:pt>
                <c:pt idx="1">
                  <c:v>private enterprise</c:v>
                </c:pt>
              </c:strCache>
            </c:strRef>
          </c:cat>
          <c:val>
            <c:numRef>
              <c:f>[WW2014_Statistics.xlsx]Sheet1!$C$61:$C$62</c:f>
              <c:numCache>
                <c:formatCode>General</c:formatCode>
                <c:ptCount val="2"/>
                <c:pt idx="0">
                  <c:v>423</c:v>
                </c:pt>
                <c:pt idx="1">
                  <c:v>108</c:v>
                </c:pt>
              </c:numCache>
            </c:numRef>
          </c:val>
        </c:ser>
        <c:dLbls>
          <c:showPercent val="1"/>
        </c:dLbls>
        <c:firstSliceAng val="0"/>
      </c:pieChart>
    </c:plotArea>
    <c:legend>
      <c:legendPos val="r"/>
      <c:txPr>
        <a:bodyPr/>
        <a:lstStyle/>
        <a:p>
          <a:pPr>
            <a:defRPr sz="1100"/>
          </a:pPr>
          <a:endParaRPr lang="it-IT"/>
        </a:p>
      </c:txPr>
    </c:legend>
    <c:plotVisOnly val="1"/>
    <c:dispBlanksAs val="zero"/>
  </c:chart>
  <c:spPr>
    <a:ln>
      <a:noFill/>
    </a:ln>
  </c:spPr>
  <c:txPr>
    <a:bodyPr/>
    <a:lstStyle/>
    <a:p>
      <a:pPr>
        <a:defRPr>
          <a:latin typeface="Gill Sans MT" panose="020B0502020104020203" pitchFamily="34" charset="0"/>
        </a:defRPr>
      </a:pPr>
      <a:endParaRPr lang="it-I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pt-PT" sz="1200"/>
              <a:t>Financing Plan: Overall Numbers</a:t>
            </a:r>
          </a:p>
        </c:rich>
      </c:tx>
    </c:title>
    <c:plotArea>
      <c:layout>
        <c:manualLayout>
          <c:layoutTarget val="inner"/>
          <c:xMode val="edge"/>
          <c:yMode val="edge"/>
          <c:x val="2.7160493827160494E-2"/>
          <c:y val="0.20575999691215074"/>
          <c:w val="0.92345679012345649"/>
          <c:h val="0.62241817199320659"/>
        </c:manualLayout>
      </c:layout>
      <c:barChart>
        <c:barDir val="col"/>
        <c:grouping val="clustered"/>
        <c:ser>
          <c:idx val="0"/>
          <c:order val="0"/>
          <c:dLbls>
            <c:spPr>
              <a:noFill/>
              <a:ln>
                <a:noFill/>
              </a:ln>
              <a:effectLst/>
            </c:spPr>
            <c:txPr>
              <a:bodyPr/>
              <a:lstStyle/>
              <a:p>
                <a:pPr>
                  <a:defRPr b="0"/>
                </a:pPr>
                <a:endParaRPr lang="it-IT"/>
              </a:p>
            </c:txPr>
            <c:showVal val="1"/>
            <c:extLst>
              <c:ext xmlns:c15="http://schemas.microsoft.com/office/drawing/2012/chart" uri="{CE6537A1-D6FC-4f65-9D91-7224C49458BB}">
                <c15:showLeaderLines val="0"/>
              </c:ext>
            </c:extLst>
          </c:dLbls>
          <c:cat>
            <c:strRef>
              <c:f>'ww2014-call-submitted-projects-'!$K$655:$K$657</c:f>
              <c:strCache>
                <c:ptCount val="3"/>
                <c:pt idx="0">
                  <c:v>Requested Funding</c:v>
                </c:pt>
                <c:pt idx="1">
                  <c:v>Own Contribution</c:v>
                </c:pt>
                <c:pt idx="2">
                  <c:v>Total Costs</c:v>
                </c:pt>
              </c:strCache>
            </c:strRef>
          </c:cat>
          <c:val>
            <c:numRef>
              <c:f>'ww2014-call-submitted-projects-'!$L$655:$L$657</c:f>
              <c:numCache>
                <c:formatCode>#,##0\ "€"</c:formatCode>
                <c:ptCount val="3"/>
                <c:pt idx="0">
                  <c:v>103621672</c:v>
                </c:pt>
                <c:pt idx="1">
                  <c:v>32006269</c:v>
                </c:pt>
                <c:pt idx="2">
                  <c:v>135627941</c:v>
                </c:pt>
              </c:numCache>
            </c:numRef>
          </c:val>
        </c:ser>
        <c:axId val="96910336"/>
        <c:axId val="96916224"/>
      </c:barChart>
      <c:catAx>
        <c:axId val="96910336"/>
        <c:scaling>
          <c:orientation val="minMax"/>
        </c:scaling>
        <c:axPos val="b"/>
        <c:numFmt formatCode="General" sourceLinked="0"/>
        <c:majorTickMark val="none"/>
        <c:tickLblPos val="nextTo"/>
        <c:crossAx val="96916224"/>
        <c:crosses val="autoZero"/>
        <c:auto val="1"/>
        <c:lblAlgn val="ctr"/>
        <c:lblOffset val="100"/>
      </c:catAx>
      <c:valAx>
        <c:axId val="96916224"/>
        <c:scaling>
          <c:orientation val="minMax"/>
        </c:scaling>
        <c:delete val="1"/>
        <c:axPos val="l"/>
        <c:numFmt formatCode="#,##0\ &quot;€&quot;" sourceLinked="1"/>
        <c:majorTickMark val="none"/>
        <c:tickLblPos val="none"/>
        <c:crossAx val="96910336"/>
        <c:crosses val="autoZero"/>
        <c:crossBetween val="between"/>
      </c:valAx>
      <c:spPr>
        <a:noFill/>
        <a:ln w="25400">
          <a:noFill/>
        </a:ln>
      </c:spPr>
    </c:plotArea>
    <c:plotVisOnly val="1"/>
    <c:dispBlanksAs val="gap"/>
  </c:chart>
  <c:spPr>
    <a:ln>
      <a:noFill/>
    </a:ln>
  </c:spPr>
  <c:txPr>
    <a:bodyPr/>
    <a:lstStyle/>
    <a:p>
      <a:pPr>
        <a:defRPr b="1" i="0" baseline="0">
          <a:latin typeface="Gill Sans MT" panose="020B0502020104020203" pitchFamily="34" charset="0"/>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pt-PT" sz="1200"/>
              <a:t>Requested Funding per Organisation Type</a:t>
            </a:r>
          </a:p>
        </c:rich>
      </c:tx>
    </c:title>
    <c:plotArea>
      <c:layout>
        <c:manualLayout>
          <c:layoutTarget val="inner"/>
          <c:xMode val="edge"/>
          <c:yMode val="edge"/>
          <c:x val="7.4625349250698497E-2"/>
          <c:y val="0.24452252208621661"/>
          <c:w val="0.86623655913978492"/>
          <c:h val="0.56379313050984958"/>
        </c:manualLayout>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'ww2014-call-submitted-projects-'!$K$677:$K$678</c:f>
              <c:strCache>
                <c:ptCount val="2"/>
                <c:pt idx="0">
                  <c:v>Non-profit organisations</c:v>
                </c:pt>
                <c:pt idx="1">
                  <c:v>Private entreprises</c:v>
                </c:pt>
              </c:strCache>
            </c:strRef>
          </c:cat>
          <c:val>
            <c:numRef>
              <c:f>'ww2014-call-submitted-projects-'!$L$677:$L$678</c:f>
              <c:numCache>
                <c:formatCode>#,##0\ "€"</c:formatCode>
                <c:ptCount val="2"/>
                <c:pt idx="0">
                  <c:v>90570003</c:v>
                </c:pt>
                <c:pt idx="1">
                  <c:v>13051669</c:v>
                </c:pt>
              </c:numCache>
            </c:numRef>
          </c:val>
        </c:ser>
        <c:axId val="96936320"/>
        <c:axId val="96937856"/>
      </c:barChart>
      <c:catAx>
        <c:axId val="96936320"/>
        <c:scaling>
          <c:orientation val="minMax"/>
        </c:scaling>
        <c:axPos val="b"/>
        <c:numFmt formatCode="General" sourceLinked="0"/>
        <c:majorTickMark val="none"/>
        <c:tickLblPos val="nextTo"/>
        <c:txPr>
          <a:bodyPr/>
          <a:lstStyle/>
          <a:p>
            <a:pPr>
              <a:defRPr b="1"/>
            </a:pPr>
            <a:endParaRPr lang="it-IT"/>
          </a:p>
        </c:txPr>
        <c:crossAx val="96937856"/>
        <c:crosses val="autoZero"/>
        <c:auto val="1"/>
        <c:lblAlgn val="ctr"/>
        <c:lblOffset val="100"/>
      </c:catAx>
      <c:valAx>
        <c:axId val="96937856"/>
        <c:scaling>
          <c:orientation val="minMax"/>
        </c:scaling>
        <c:delete val="1"/>
        <c:axPos val="l"/>
        <c:numFmt formatCode="#,##0\ &quot;€&quot;" sourceLinked="1"/>
        <c:majorTickMark val="none"/>
        <c:tickLblPos val="none"/>
        <c:crossAx val="96936320"/>
        <c:crosses val="autoZero"/>
        <c:crossBetween val="between"/>
      </c:valAx>
      <c:spPr>
        <a:noFill/>
        <a:ln w="25400">
          <a:noFill/>
        </a:ln>
      </c:spPr>
    </c:plotArea>
    <c:plotVisOnly val="1"/>
    <c:dispBlanksAs val="gap"/>
  </c:chart>
  <c:spPr>
    <a:ln>
      <a:noFill/>
    </a:ln>
  </c:spPr>
  <c:txPr>
    <a:bodyPr/>
    <a:lstStyle/>
    <a:p>
      <a:pPr>
        <a:defRPr>
          <a:latin typeface="Gill Sans MT" panose="020B0502020104020203" pitchFamily="34" charset="0"/>
        </a:defRPr>
      </a:pPr>
      <a:endParaRPr lang="it-I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1200"/>
            </a:pPr>
            <a:r>
              <a:rPr lang="en-US" sz="1200"/>
              <a:t>% of Submitted Pre-Proposals per Call Topic</a:t>
            </a:r>
            <a:endParaRPr lang="pt-PT" sz="1200"/>
          </a:p>
        </c:rich>
      </c:tx>
      <c:layout>
        <c:manualLayout>
          <c:xMode val="edge"/>
          <c:yMode val="edge"/>
          <c:x val="0.13096055701370662"/>
          <c:y val="0"/>
        </c:manualLayout>
      </c:layout>
    </c:title>
    <c:plotArea>
      <c:layout/>
      <c:pieChart>
        <c:varyColors val="1"/>
        <c:ser>
          <c:idx val="0"/>
          <c:order val="0"/>
          <c:tx>
            <c:strRef>
              <c:f>Sheet1!$C$149</c:f>
              <c:strCache>
                <c:ptCount val="1"/>
                <c:pt idx="0">
                  <c:v>Number of pre-proposals</c:v>
                </c:pt>
              </c:strCache>
            </c:strRef>
          </c:tx>
          <c:dLbls>
            <c:dLbl>
              <c:idx val="0"/>
              <c:tx>
                <c:rich>
                  <a:bodyPr/>
                  <a:lstStyle/>
                  <a:p>
                    <a:r>
                      <a:rPr lang="en-US" sz="1200" b="1">
                        <a:solidFill>
                          <a:schemeClr val="bg1"/>
                        </a:solidFill>
                      </a:rPr>
                      <a:t>49%</a:t>
                    </a:r>
                    <a:endParaRPr lang="en-US"/>
                  </a:p>
                </c:rich>
              </c:tx>
              <c:showVal val="1"/>
              <c:extLst>
                <c:ext xmlns:c15="http://schemas.microsoft.com/office/drawing/2012/chart" uri="{CE6537A1-D6FC-4f65-9D91-7224C49458BB}"/>
              </c:extLst>
            </c:dLbl>
            <c:dLbl>
              <c:idx val="1"/>
              <c:tx>
                <c:rich>
                  <a:bodyPr/>
                  <a:lstStyle/>
                  <a:p>
                    <a:r>
                      <a:rPr lang="en-US" sz="1200" b="1">
                        <a:solidFill>
                          <a:schemeClr val="bg1"/>
                        </a:solidFill>
                      </a:rPr>
                      <a:t>26%</a:t>
                    </a:r>
                    <a:endParaRPr lang="en-US"/>
                  </a:p>
                </c:rich>
              </c:tx>
              <c:showVal val="1"/>
              <c:extLst>
                <c:ext xmlns:c15="http://schemas.microsoft.com/office/drawing/2012/chart" uri="{CE6537A1-D6FC-4f65-9D91-7224C49458BB}"/>
              </c:extLst>
            </c:dLbl>
            <c:dLbl>
              <c:idx val="2"/>
              <c:tx>
                <c:rich>
                  <a:bodyPr/>
                  <a:lstStyle/>
                  <a:p>
                    <a:r>
                      <a:rPr lang="en-US" sz="1200" b="1">
                        <a:solidFill>
                          <a:schemeClr val="bg1"/>
                        </a:solidFill>
                      </a:rPr>
                      <a:t>19%</a:t>
                    </a:r>
                    <a:endParaRPr lang="en-US"/>
                  </a:p>
                </c:rich>
              </c:tx>
              <c:showVal val="1"/>
              <c:extLst>
                <c:ext xmlns:c15="http://schemas.microsoft.com/office/drawing/2012/chart" uri="{CE6537A1-D6FC-4f65-9D91-7224C49458BB}"/>
              </c:extLst>
            </c:dLbl>
            <c:dLbl>
              <c:idx val="3"/>
              <c:tx>
                <c:rich>
                  <a:bodyPr/>
                  <a:lstStyle/>
                  <a:p>
                    <a:r>
                      <a:rPr lang="en-US" sz="1200" b="1">
                        <a:solidFill>
                          <a:schemeClr val="bg1"/>
                        </a:solidFill>
                      </a:rPr>
                      <a:t>6%</a:t>
                    </a:r>
                    <a:endParaRPr lang="en-US"/>
                  </a:p>
                </c:rich>
              </c:tx>
              <c:showVal val="1"/>
              <c:extLst>
                <c:ext xmlns:c15="http://schemas.microsoft.com/office/drawing/2012/chart" uri="{CE6537A1-D6FC-4f65-9D91-7224C49458BB}"/>
              </c:extLst>
            </c:dLbl>
            <c:spPr>
              <a:noFill/>
              <a:ln>
                <a:noFill/>
              </a:ln>
              <a:effectLst/>
            </c:spPr>
            <c:txPr>
              <a:bodyPr/>
              <a:lstStyle/>
              <a:p>
                <a:pPr>
                  <a:defRPr sz="1200" b="1">
                    <a:solidFill>
                      <a:schemeClr val="bg1"/>
                    </a:solidFill>
                  </a:defRPr>
                </a:pPr>
                <a:endParaRPr lang="it-IT"/>
              </a:p>
            </c:txPr>
            <c:showVal val="1"/>
            <c:showLeaderLines val="1"/>
            <c:extLst>
              <c:ext xmlns:c15="http://schemas.microsoft.com/office/drawing/2012/chart" uri="{CE6537A1-D6FC-4f65-9D91-7224C49458BB}"/>
            </c:extLst>
          </c:dLbls>
          <c:cat>
            <c:strRef>
              <c:f>Sheet1!$B$150:$B$153</c:f>
              <c:strCache>
                <c:ptCount val="4"/>
                <c:pt idx="0">
                  <c:v>T1</c:v>
                </c:pt>
                <c:pt idx="1">
                  <c:v>T2</c:v>
                </c:pt>
                <c:pt idx="2">
                  <c:v>T3</c:v>
                </c:pt>
                <c:pt idx="3">
                  <c:v>Multiple topics</c:v>
                </c:pt>
              </c:strCache>
            </c:strRef>
          </c:cat>
          <c:val>
            <c:numRef>
              <c:f>Sheet1!$C$150:$C$153</c:f>
              <c:numCache>
                <c:formatCode>0</c:formatCode>
                <c:ptCount val="4"/>
                <c:pt idx="0">
                  <c:v>49.152542372881385</c:v>
                </c:pt>
                <c:pt idx="1">
                  <c:v>26.271186440677962</c:v>
                </c:pt>
                <c:pt idx="2">
                  <c:v>18.644067796610194</c:v>
                </c:pt>
                <c:pt idx="3">
                  <c:v>5.9322033898305131</c:v>
                </c:pt>
              </c:numCache>
            </c:numRef>
          </c:val>
        </c:ser>
        <c:firstSliceAng val="0"/>
      </c:pieChart>
    </c:plotArea>
    <c:plotVisOnly val="1"/>
    <c:dispBlanksAs val="zero"/>
  </c:chart>
  <c:spPr>
    <a:ln>
      <a:noFill/>
    </a:ln>
  </c:spPr>
  <c:txPr>
    <a:bodyPr/>
    <a:lstStyle/>
    <a:p>
      <a:pPr>
        <a:defRPr>
          <a:latin typeface="Gill Sans MT" panose="020B0502020104020203" pitchFamily="34" charset="0"/>
        </a:defRPr>
      </a:pPr>
      <a:endParaRPr lang="it-I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1200"/>
            </a:pPr>
            <a:r>
              <a:rPr lang="en-US" sz="1200"/>
              <a:t>% of Proposals invited for Step 2 per Call Topic</a:t>
            </a:r>
          </a:p>
        </c:rich>
      </c:tx>
      <c:layout>
        <c:manualLayout>
          <c:xMode val="edge"/>
          <c:yMode val="edge"/>
          <c:x val="0.13297662595325177"/>
          <c:y val="6.9871812098574093E-5"/>
        </c:manualLayout>
      </c:layout>
    </c:title>
    <c:plotArea>
      <c:layout/>
      <c:pieChart>
        <c:varyColors val="1"/>
        <c:ser>
          <c:idx val="0"/>
          <c:order val="0"/>
          <c:tx>
            <c:strRef>
              <c:f>Sheet1!$D$6</c:f>
              <c:strCache>
                <c:ptCount val="1"/>
                <c:pt idx="0">
                  <c:v>%</c:v>
                </c:pt>
              </c:strCache>
            </c:strRef>
          </c:tx>
          <c:dLbls>
            <c:dLbl>
              <c:idx val="0"/>
              <c:tx>
                <c:rich>
                  <a:bodyPr/>
                  <a:lstStyle/>
                  <a:p>
                    <a:r>
                      <a:rPr lang="en-US" sz="1200" b="1">
                        <a:solidFill>
                          <a:schemeClr val="bg1"/>
                        </a:solidFill>
                      </a:rPr>
                      <a:t>49%</a:t>
                    </a:r>
                    <a:endParaRPr lang="en-US"/>
                  </a:p>
                </c:rich>
              </c:tx>
              <c:showVal val="1"/>
              <c:extLst>
                <c:ext xmlns:c15="http://schemas.microsoft.com/office/drawing/2012/chart" uri="{CE6537A1-D6FC-4f65-9D91-7224C49458BB}"/>
              </c:extLst>
            </c:dLbl>
            <c:dLbl>
              <c:idx val="1"/>
              <c:tx>
                <c:rich>
                  <a:bodyPr/>
                  <a:lstStyle/>
                  <a:p>
                    <a:r>
                      <a:rPr lang="en-US" sz="1200" b="1">
                        <a:solidFill>
                          <a:schemeClr val="bg1"/>
                        </a:solidFill>
                      </a:rPr>
                      <a:t>19%</a:t>
                    </a:r>
                    <a:endParaRPr lang="en-US"/>
                  </a:p>
                </c:rich>
              </c:tx>
              <c:showVal val="1"/>
              <c:extLst>
                <c:ext xmlns:c15="http://schemas.microsoft.com/office/drawing/2012/chart" uri="{CE6537A1-D6FC-4f65-9D91-7224C49458BB}"/>
              </c:extLst>
            </c:dLbl>
            <c:dLbl>
              <c:idx val="2"/>
              <c:tx>
                <c:rich>
                  <a:bodyPr/>
                  <a:lstStyle/>
                  <a:p>
                    <a:r>
                      <a:rPr lang="en-US" sz="1200" b="1">
                        <a:solidFill>
                          <a:schemeClr val="bg1"/>
                        </a:solidFill>
                      </a:rPr>
                      <a:t>22%</a:t>
                    </a:r>
                    <a:endParaRPr lang="en-US"/>
                  </a:p>
                </c:rich>
              </c:tx>
              <c:showVal val="1"/>
              <c:extLst>
                <c:ext xmlns:c15="http://schemas.microsoft.com/office/drawing/2012/chart" uri="{CE6537A1-D6FC-4f65-9D91-7224C49458BB}"/>
              </c:extLst>
            </c:dLbl>
            <c:dLbl>
              <c:idx val="3"/>
              <c:tx>
                <c:rich>
                  <a:bodyPr/>
                  <a:lstStyle/>
                  <a:p>
                    <a:r>
                      <a:rPr lang="en-US" sz="1200" b="1">
                        <a:solidFill>
                          <a:schemeClr val="bg1"/>
                        </a:solidFill>
                      </a:rPr>
                      <a:t>10%</a:t>
                    </a:r>
                    <a:endParaRPr lang="en-US"/>
                  </a:p>
                </c:rich>
              </c:tx>
              <c:showVal val="1"/>
              <c:extLst>
                <c:ext xmlns:c15="http://schemas.microsoft.com/office/drawing/2012/chart" uri="{CE6537A1-D6FC-4f65-9D91-7224C49458BB}"/>
              </c:extLst>
            </c:dLbl>
            <c:spPr>
              <a:noFill/>
              <a:ln>
                <a:noFill/>
              </a:ln>
              <a:effectLst/>
            </c:spPr>
            <c:txPr>
              <a:bodyPr/>
              <a:lstStyle/>
              <a:p>
                <a:pPr>
                  <a:defRPr sz="1200" b="1">
                    <a:solidFill>
                      <a:schemeClr val="bg1"/>
                    </a:solidFill>
                  </a:defRPr>
                </a:pPr>
                <a:endParaRPr lang="it-IT"/>
              </a:p>
            </c:txPr>
            <c:showVal val="1"/>
            <c:showLeaderLines val="1"/>
            <c:extLst>
              <c:ext xmlns:c15="http://schemas.microsoft.com/office/drawing/2012/chart" uri="{CE6537A1-D6FC-4f65-9D91-7224C49458BB}"/>
            </c:extLst>
          </c:dLbls>
          <c:cat>
            <c:strRef>
              <c:f>Sheet1!$C$7:$C$10</c:f>
              <c:strCache>
                <c:ptCount val="4"/>
                <c:pt idx="0">
                  <c:v>T1</c:v>
                </c:pt>
                <c:pt idx="1">
                  <c:v>T2</c:v>
                </c:pt>
                <c:pt idx="2">
                  <c:v>T3</c:v>
                </c:pt>
                <c:pt idx="3">
                  <c:v>Multiple topics</c:v>
                </c:pt>
              </c:strCache>
            </c:strRef>
          </c:cat>
          <c:val>
            <c:numRef>
              <c:f>Sheet1!$D$7:$D$10</c:f>
              <c:numCache>
                <c:formatCode>General</c:formatCode>
                <c:ptCount val="4"/>
                <c:pt idx="0">
                  <c:v>49</c:v>
                </c:pt>
                <c:pt idx="1">
                  <c:v>19</c:v>
                </c:pt>
                <c:pt idx="2">
                  <c:v>22</c:v>
                </c:pt>
                <c:pt idx="3">
                  <c:v>10</c:v>
                </c:pt>
              </c:numCache>
            </c:numRef>
          </c:val>
        </c:ser>
        <c:firstSliceAng val="0"/>
      </c:pieChart>
    </c:plotArea>
    <c:plotVisOnly val="1"/>
    <c:dispBlanksAs val="zero"/>
  </c:chart>
  <c:spPr>
    <a:ln>
      <a:noFill/>
    </a:ln>
  </c:spPr>
  <c:txPr>
    <a:bodyPr/>
    <a:lstStyle/>
    <a:p>
      <a:pPr>
        <a:defRPr>
          <a:latin typeface="Gill Sans MT" panose="020B0502020104020203" pitchFamily="34" charset="0"/>
        </a:defRPr>
      </a:pPr>
      <a:endParaRPr lang="it-IT"/>
    </a:p>
  </c:tx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2315</Words>
  <Characters>13199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Germana Santos</dc:creator>
  <cp:lastModifiedBy>giusta</cp:lastModifiedBy>
  <cp:revision>4</cp:revision>
  <cp:lastPrinted>2016-03-14T13:15:00Z</cp:lastPrinted>
  <dcterms:created xsi:type="dcterms:W3CDTF">2016-04-12T05:59:00Z</dcterms:created>
  <dcterms:modified xsi:type="dcterms:W3CDTF">2016-04-12T06:03:00Z</dcterms:modified>
</cp:coreProperties>
</file>